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6B_677/2025 vom 7. Oktober 2025</w:t>
      </w:r>
    </w:p>
    <w:p>
      <w:r>
        <w:t>Bundesgericht, 2025-10-07, FR</w:t>
      </w:r>
    </w:p>
    <w:p>
      <w:r>
        <w:rPr>
          <w:b/>
        </w:rPr>
        <w:t xml:space="preserve">Quelle: </w:t>
      </w:r>
      <w:r>
        <w:t>https://mcp.opencaselaw.ch/entscheid/bger_6B_677_2025</w:t>
      </w:r>
    </w:p>
    <w:p>
      <w:r>
        <w:t>FR: TF 6B_677/2025 du 7 octobre 2025</w:t>
      </w:r>
    </w:p>
    <w:p>
      <w:r>
        <w:t>IT: TF 6B_677/2025 del 7 ottobre 2025</w:t>
      </w:r>
    </w:p>
    <w:p>
      <w:pPr>
        <w:pStyle w:val="Heading2"/>
      </w:pPr>
      <w:r>
        <w:t>Erwägungen</w:t>
      </w:r>
    </w:p>
    <w:p>
      <w:r>
        <w:rPr>
          <w:b/>
        </w:rPr>
        <w:t>E. 1</w:t>
      </w:r>
    </w:p>
    <w:p>
      <w:r>
        <w:t>Par acte du 19 août 2025, A.________ recourt en matière pénale au Tribunal fédéral contre un arrêt du 11 août 2025. Par ce dernier, la Cour pénale I du Tribunal cantonal valaisan a rejeté l'appel formé par le précité contre un jugement du 23 février 2024 du Tribunal de district de Sion et l'a condamné à 150 jours-amende à 10 fr. le jour, avec sursis pendant 5 ans, pour diffamation, menaces et tentative de contrainte (ch. 1). La cour cantonale a, par ailleurs, renoncé à révoquer un précédent sursis (ch. 2) et fait interdiction au condamné, sous menace des peines prévues par l' art. 294 al. 2 CP , pour une durée de 5 ans, de prendre contact avec l'intimé 2 et/ou l'intimé 3 ainsi que de s'approcher à moins de 50 mètres de leurs domiciles (ch. 3). Les prétentions civiles ont été renvoyées au for civil (ch. 4), les frais mis à la charge de A.________ (ch. 5) et celui-ci condamné à verser 3500 fr. à l'intimé 3 ainsi que 3100 fr. à l'intimé 2 à titre de justes indemnités pour leurs dépenses obligatoires occasionnées par la procédure (ch. 6). Le recourant conclut à l'annulation de la décision entreprise (soit des ch. 1, 2, 5 et 6 et de son dispositif) et à la restitution d'un bien qu'il allègue lui avoir été volé.</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conclusions purement cassatoires sont en principe irrecevables (cf. ATF 137 II 313 consid. 1.3; v. aussi parmi d'autres: arrêt 6B_805/2024 du 22 mai 2025 consid. 1).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3</w:t>
      </w:r>
    </w:p>
    <w:p>
      <w:r>
        <w:t>En dernière instance cantonale, l'appel n'avait plus pour objet que la mesure de la peine et les indemnités de dépens (arrêt entrepris, consid. 7.2). Le recourant ne reproche pas à la cour cantonale d'avoir restreint son examen à ces points. Il n'invoque expressément, à cet égard, la violation d'aucun droit fondamental, et n'allègue, en particulier, ni déni de justice ni violation de son droit d'être entendu ( art. 106 al. 2 LTF ). Seuls les points examinés en appel peuvent donc faire l'objet du recours en matière pénale ( art. 80 al. 1 LTF ), à l'exclusion, notamment, de la prétention en restitution élevée par le recourant. Seule demeure ainsi la conclusion en annulation de la décision entreprise, qui n'apparaît pas recevable en raison de son caractère purement cassatoire. Le recours est irrecevable sous ce premier angle formel (cf. ATF 137 II 313 ).</w:t>
      </w:r>
    </w:p>
    <w:p>
      <w:r>
        <w:rPr>
          <w:b/>
        </w:rPr>
        <w:t>E. 4</w:t>
      </w:r>
    </w:p>
    <w:p>
      <w:r>
        <w:t>De surcroît, l'argumentation développée par le recourant à l'appui de son recours se résume à une discussion des preuves et à une critique des faits retenus par la cour cantonale, sans qu'il invoque, sur ce point non plus, la violation d'un quelconque droit fondamental, l'interdiction de l'arbitraire ( art. 9 Cst. ) ou la présomption d'innocence ( art. 32 al. 1 Cst. ; 10 al. 1 CPP ) notamment. Ces développements ne sont, du reste, pas topiques en tant qu'ils ne portent pas sur les questions tranchées par la cour cantonale ( art. 42 al. 2 LTF ). Ils sont de toute manière purement appellatoires, partant irrecevables.</w:t>
      </w:r>
    </w:p>
    <w:p>
      <w:r>
        <w:rPr>
          <w:b/>
        </w:rPr>
        <w:t>E. 5</w:t>
      </w:r>
    </w:p>
    <w:p>
      <w:r>
        <w:t>L'insuffisance de la motivation du recours est patente et l'irrecevabilité des conclusions manifeste, ce qu'il y lieu de constater dans la procédure prévue par l' art. 108 al. 1 let. a 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