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677/2008 vom 23. Februar 2009</w:t>
      </w:r>
    </w:p>
    <w:p>
      <w:r>
        <w:t>Bundesgericht, 2009-02-23, DE</w:t>
      </w:r>
    </w:p>
    <w:p>
      <w:r>
        <w:rPr>
          <w:b/>
        </w:rPr>
        <w:t xml:space="preserve">Quelle: </w:t>
      </w:r>
      <w:r>
        <w:t>https://mcp.opencaselaw.ch/entscheid/bger_6B_677_2008</w:t>
      </w:r>
    </w:p>
    <w:p>
      <w:r>
        <w:t>FR: TF 6B 677/2008 du 23 février 2009</w:t>
      </w:r>
    </w:p>
    <w:p>
      <w:r>
        <w:t>IT: TF 6B 677/2008 del 23 febbraio 2009</w:t>
      </w:r>
    </w:p>
    <w:p>
      <w:pPr>
        <w:pStyle w:val="Heading2"/>
      </w:pPr>
      <w:r>
        <w:t>Regeste</w:t>
      </w:r>
    </w:p>
    <w:p>
      <w:r>
        <w:t>Anspruch auf gerichtliche Beurteilung (Art. 41 Abs. 1 JStG) | Strafrecht (allgemein)</w:t>
      </w:r>
    </w:p>
    <w:p>
      <w:pPr>
        <w:pStyle w:val="Heading2"/>
      </w:pPr>
      <w:r>
        <w:t>Erwägungen</w:t>
      </w:r>
    </w:p>
    <w:p>
      <w:r>
        <w:rPr>
          <w:b/>
        </w:rPr>
        <w:t>E. 1</w:t>
      </w:r>
    </w:p>
    <w:p>
      <w:r>
        <w:t>Das Bundesgericht prüft seine Zuständigkeit von Amtes wegen.</w:t>
      </w:r>
    </w:p>
    <w:p>
      <w:r>
        <w:rPr>
          <w:b/>
        </w:rPr>
        <w:t>E. 1.1</w:t>
      </w:r>
    </w:p>
    <w:p>
      <w:r>
        <w:t>Gemäss § 13 Abs. 4 StPO /AG in der bis Ende 2008 geltenden Fassung können Beschlüsse und Urteile der Schulpflege beim Bezirksschulrat angefochten werden, dessen Entscheid endgültig ist (ferner § 24 Dekret über die Jugenstrafrechtspflege [DJStP]). Die Vorinstanz hat als Bezirksschulrat geurteilt.</w:t>
      </w:r>
    </w:p>
    <w:p>
      <w:r>
        <w:rPr>
          <w:b/>
        </w:rPr>
        <w:t>E. 1.2</w:t>
      </w:r>
    </w:p>
    <w:p>
      <w:r>
        <w:t>Gemäss Art. 41 Abs. 1 JStG haben die Kantone gegen Urteile und Verfügungen, die gestützt auf dieses Gesetz ergehen, ein Rechtsmittel an eine gerichtliche Instanz vorzusehen. Diese Bestimmung ist seit dem 1. Januar 2007 unmittelbar anwendbar ( BGE 133 IV 267 ). In ihrer Vernehmlassung stellt die Vorinstanz klar, dass sie keine gerichtliche Instanz ist. Sie ist somit keine Vorinstanz im Sinne von Art. 80 BGG , so dass auf die Beschwerde nicht einzutreten ist.</w:t>
      </w:r>
    </w:p>
    <w:p>
      <w:r>
        <w:rPr>
          <w:b/>
        </w:rPr>
        <w:t>E. 1.3</w:t>
      </w:r>
    </w:p>
    <w:p>
      <w:r>
        <w:t>Der Anspruch des Beschwerdeführers gemäss Art. 41 Abs. 1 JStG bestand ungeachtet der im Urteilszeitpunkt fehlenden bundesrechtskonformen Ausführungsgesetzgebung. Gemäss der auf den 1. Januar 2009 in Kraft gesetzten Fassung von § 13 Abs. 4 und § 14 Abs. 1 lit. f StPO /AG können Beschlüsse und Urteile der Schulpflegen beim Jugendgericht angefochten werden (ebenso § 24 DJStP in der revidierten Fassung). Somit dürfte das Jugendgericht als das zuständige Gericht zu bestimmen sein (vgl. BGE 133 IV 267 E. 3.4). Dem Beschwerdeführer darf aus dem bundesrechtswidrigen früheren Verfahrensrecht kein Rechtsnachteil erwachsen.</w:t>
      </w:r>
    </w:p>
    <w:p>
      <w:r>
        <w:rPr>
          <w:b/>
        </w:rPr>
        <w:t>E. 2</w:t>
      </w:r>
    </w:p>
    <w:p>
      <w:r>
        <w:t>Aufgrund der besonderen Umstände werden dem Beschwerdeführer, obwohl er formell unterliegt, keine Kosten auferlegt ( Art. 66 Abs. 1 BGG ). Dem Kanton Aargau können keine Gerichtskosten überbunden werden ( Art. 66 Abs. 4 BGG ). Hingegen hat er dem Beschwerdeführer eine angemessene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