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6B_675/2011 vom 7. Februar 2012</w:t>
      </w:r>
    </w:p>
    <w:p>
      <w:r>
        <w:t>Bundesgericht, 2012-02-07, FR</w:t>
      </w:r>
    </w:p>
    <w:p>
      <w:r>
        <w:rPr>
          <w:b/>
        </w:rPr>
        <w:t xml:space="preserve">Quelle: </w:t>
      </w:r>
      <w:r>
        <w:t>https://mcp.opencaselaw.ch/entscheid/bger_6B_675_2011</w:t>
      </w:r>
    </w:p>
    <w:p>
      <w:r>
        <w:t>FR: TF 6B_675/2011 du 7 février 2012</w:t>
      </w:r>
    </w:p>
    <w:p>
      <w:r>
        <w:t>IT: TF 6B_675/2011 del 7 febbraio 2012</w:t>
      </w:r>
    </w:p>
    <w:p>
      <w:pPr>
        <w:pStyle w:val="Heading2"/>
      </w:pPr>
      <w:r>
        <w:t>Erwägungen</w:t>
      </w:r>
    </w:p>
    <w:p>
      <w:r>
        <w:rPr>
          <w:b/>
        </w:rPr>
        <w:t>E. 1</w:t>
      </w:r>
    </w:p>
    <w:p>
      <w:r>
        <w:t>La décision attaquée a été rendue en dernière instance cantonale dans une cause de droit pénal. Elle peut donc faire l'objet d'un recours en matière pénale au sens des art. 78 ss LTF , de sorte que le recours constitutionnel subsidiaire est exclu ( art. 113 LTF ). Les griefs invoqués à l'appui de celui-ci seront traités dans le cadre du recours en matière pénale.</w:t>
      </w:r>
    </w:p>
    <w:p>
      <w:r>
        <w:rPr>
          <w:b/>
        </w:rPr>
        <w:t>E. 2.1</w:t>
      </w:r>
    </w:p>
    <w:p>
      <w:r>
        <w:t>Le recourant invoque une violation de l'art. 85 du code de procédure pénale suisse (RS 312.0; CPP), contestant avoir reçu l'avis de retrait du pli recommandé relatif à l'ordonnance pénale litigieuse, comme retenu par la cour cantonale.</w:t>
      </w:r>
    </w:p>
    <w:p>
      <w:r>
        <w:rPr>
          <w:b/>
        </w:rPr>
        <w:t>E. 2.2</w:t>
      </w:r>
    </w:p>
    <w:p>
      <w:r>
        <w:t>Selon cette disposition, les communications des autorités pénales sont notifiées en la forme écrite, sauf disposition contraire du présent code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 Le prononcé est également réputé notifié lorsque, expédié par lettre signature, il n'a pas été retiré dans les sept jours à compter de la tentative infructueuse de remise du pli, si la personne concernée devait s'attendre à une telle remise (a.) ou lorsque, notifié personnellement, il a été refusé et que ce refus a été dûment constaté le jour même par la personne chargée de remettre le pli (b.).</w:t>
      </w:r>
    </w:p>
    <w:p>
      <w:r>
        <w:t>La notification consiste à faire parvenir l'information dans la sphère de compétence du destinataire. Son existence ne peut être retenue que s'il est établi qu'une invitation à retirer un pli recommandé a bien été déposée dans la boîte à lettres du destinataire. A cet égard,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w:t>
      </w:r>
    </w:p>
    <w:p>
      <w:r>
        <w:t>Dès lors que l'absence de remise de l'avis de retrait constitue un fait négatif, le destinataire ne doit pas en apporter la preuve stricte. Il suffit d'établir qu'il existe une vraisemblance prépondérante que des erreurs se soient produites lors de la notification (arrêt 2C_38/2009 du 5 juin 2009 consid. 4.1).</w:t>
      </w:r>
    </w:p>
    <w:p>
      <w:r>
        <w:rPr>
          <w:b/>
        </w:rPr>
        <w:t>E. 2.3</w:t>
      </w:r>
    </w:p>
    <w:p>
      <w:r>
        <w:t>Selon l'arrêt attaqué, l'ordonnance pénale a été adressée au recourant par pli recommandé du 21 juin 2011. L'envoi a fait l'objet d'un avis de retrait établi le jour même, avant d'être retourné à son expéditeur à l'échéance du délai de garde de 7 jours et avec la mention "non réclamé".</w:t>
      </w:r>
    </w:p>
    <w:p>
      <w:r>
        <w:t>Les constatations cantonales laissent ainsi présumer que l'avis de retrait a été dûment déposé dans la boîte à lettres du recourant, de manière à renverser le fardeau de la preuve de notification à son détriment. Il lui appartient par conséquent d'établir avec une certaine vraisemblance l'absence de dépôt de l'avis de retrait dans sa boîte à lettres au jour attesté par le facteur.</w:t>
      </w:r>
    </w:p>
    <w:p>
      <w:r>
        <w:t>A cette fin, le recourant fait valoir qu'il n'avait aucun intérêt à se soustraire à la notification de l'ordonnance pénale. Selon lui, une erreur du facteur ou de La Poste n'est pas exclue. Il se peut aussi que l'avis de retrait ait pu être égaré de toute autre manière. Les membres de sa famille - qui habitent le même immeuble et dont il partage la boîte à lettres - n'ont pas non plus aperçu ledit avis de retrait.</w:t>
      </w:r>
    </w:p>
    <w:p>
      <w:r>
        <w:t>Pour l'essentiel, le recourant évoque ainsi la possibilité d'une erreur de distribution postale. Cependant, il se borne à contester le dépôt de l'avis de retrait dans sa boîte à lettres en émettant des hypothèses. Il ne signale aucune erreur concrète de distribution imputable au facteur. En particulier, il ne démontre pas que de telles méprises se seraient produites à répétition durant la période litigieuse (cf. arrêt 2C_38/2009 du 5 juin 2009 consid. 5.3). Il n'offre aucun témoin susceptible d'attester avoir découvert l'avis de retrait litigieux glissé par inadvertance dans son propre courrier ou avoir remarqué qu'un tel avis aurait été placardé sur la boîte à lettres d'un voisin à l'époque des faits. L'audition des membres de sa famille, pour attester n'avoir pas vu d'avis de retrait, n'est pas de nature à livrer un éclairage différent sur d'éventuels dysfonctionnements de la distribution postale. On ne voit pas non plus, et le recourant n'en dit rien, quelles investigations supplémentaires auraient pu être faites auprès de La Poste. Contrairement à ce que le recourant soutient, les réquisitions de preuve dont il a saisi les autorités cantonales ont par conséquent été rejetées au terme d'une appréciation anticipée des preuves exempte d'arbitraire et sans violation du droit d'être entendu (cf. ATF 136 I 229 consid. 5.3 p. 236).</w:t>
      </w:r>
    </w:p>
    <w:p>
      <w:r>
        <w:t>A défaut d'élément de preuve contraire, il y a lieu de présumer que l'employé postal a correctement inséré l'avis de retrait dans la boîte à lettres du recourant et que la date de ce dépôt - telle qu'elle figure sur la liste des notifications - est exacte. Considérant en outre que le recourant s'attendait à recevoir une convocation ou une décision pénale (cf. arrêt attaqué let. c p. 2-3 et recours ch. 6 p. 5), c'est à juste titre que les autorités cantonales ont fait application de la fiction de notification. A défaut d'une violation du droit fédéral, l'arrêt attaqué n'est pas critiquable.</w:t>
      </w:r>
    </w:p>
    <w:p>
      <w:r>
        <w:rPr>
          <w:b/>
        </w:rPr>
        <w:t>E. 3</w:t>
      </w:r>
    </w:p>
    <w:p>
      <w:r>
        <w:t>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