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6B_674/2024 vom 22. Oktober 2024</w:t>
      </w:r>
    </w:p>
    <w:p>
      <w:r>
        <w:t>Bundesgericht, 2024-10-22, DE</w:t>
      </w:r>
    </w:p>
    <w:p>
      <w:r>
        <w:rPr>
          <w:b/>
        </w:rPr>
        <w:t xml:space="preserve">Quelle: </w:t>
      </w:r>
      <w:r>
        <w:t>https://mcp.opencaselaw.ch/entscheid/bger_6B_674_2024</w:t>
      </w:r>
    </w:p>
    <w:p>
      <w:r>
        <w:t>FR: TF 6B_674/2024 du 22 octobre 2024</w:t>
      </w:r>
    </w:p>
    <w:p>
      <w:r>
        <w:t>IT: TF 6B_674/2024 del 22 ottobre 2024</w:t>
      </w:r>
    </w:p>
    <w:p>
      <w:pPr>
        <w:pStyle w:val="Heading2"/>
      </w:pPr>
      <w:r>
        <w:t>Erwägungen</w:t>
      </w:r>
    </w:p>
    <w:p>
      <w:r>
        <w:rPr>
          <w:b/>
        </w:rPr>
        <w:t>E. 1</w:t>
      </w:r>
    </w:p>
    <w:p>
      <w:r>
        <w:t>Mit Urteil vom 6. November 2023 sprach das Bezirksgericht Leuk und Westlich-Raron den Beschwerdeführer der Urkundenfälschung schuldig. Es bestrafte ihn mit einer bedingt ausgefällten Geldstrafe von 24 Tagessätzen zu je Fr. 330.-- und einer Busse von Fr. 1'980.--. Die Probezeit für die bedingt ausgefällte Geldstrafe setzte es auf zwei Jahre fest und verpflichtete den Beschwerdeführer zur Übername der Verfahrenskosten. Auf die dagegen vom Beschwerdeführer erhobene Berufung bestätigte das Kantonsgericht Wallis mit Urteil vom 9. Juli 2024 sowohl den erstinstanzlich ausgefällten Schuldspruch als auch das erstinstanzlich festgesetzte Strafmass und regelte die Kosten- und Entschädigungsfolgen.</w:t>
      </w:r>
    </w:p>
    <w:p>
      <w:r>
        <w:t>Der Beschwerdeführer wendet sich an das Bundesgericht.</w:t>
      </w:r>
    </w:p>
    <w:p>
      <w:r>
        <w:rPr>
          <w:b/>
        </w:rPr>
        <w:t>E. 2</w:t>
      </w:r>
    </w:p>
    <w:p>
      <w:r>
        <w:t>Nach Art. 42 Abs. 2 BGG ist in der Begründung der Beschwerde in Strafsachen in gedrängter Form darzulegen, inwiefern der angefochtene Entscheid Recht verletzt.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w:t>
      </w:r>
    </w:p>
    <w:p>
      <w:r>
        <w:rPr>
          <w:b/>
        </w:rPr>
        <w:t>E. 3.1</w:t>
      </w:r>
    </w:p>
    <w:p>
      <w:r>
        <w:t>Die Vorinstanz erachtet es anhand der Akten- und Interessenlage, anhand des Schriftbildes und von Lügensignalen in den Aussagen des Beschwerdeführers als zweifelsfrei erstellt, dass dieser auf dem Original des Treffsicherheitsnachweises 2017 oder aber einer Kopie davon das ursprüngliche Datum beim Programm Schrot ("4.08.17") mittels Tipp-Ex oder eines Papierstreifens unkenntlich machte und dort eigenhändig und handschriftlich das Datum "02.07.21" anbrachte. Vom so verfälschten Dokument erstellte er eine Kopie, die er alsdann im Rahmen der Bestellung der Jagdpatente A und B am 26. Juli 2022 bei der Dienststelle für Jagd, Fischerei und Wildtiere eingereicht hat.</w:t>
      </w:r>
    </w:p>
    <w:p>
      <w:r>
        <w:rPr>
          <w:b/>
        </w:rPr>
        <w:t>E. 3.2</w:t>
      </w:r>
    </w:p>
    <w:p>
      <w:r>
        <w:t>Die dagegen vom Beschwerdeführer erhobene Kritik erschöpft sich in weiten Teilen in der Schilderung seiner Sicht der Dinge und Hinweisen auf bereits vor Vorinstanz vorgebrachte Einwände. Auf solch allgemeine appellatorische Kritik tritt das Bundesgericht nicht ein. Zudem übersieht der Beschwerdeführer, dass die Sachverhaltsfeststellung der Vorinstanz auf einer Vielzahl von ihr gewürdigter Umstände und Indizien beruht. Er darf sich folglich nicht darauf beschränken aufzuzeigen, wie einzelne Indizien willkürfrei zu würdigen gewesen wären, sondern muss sich mit der gesamten Beweislage befassen und darlegen, inwiefern aus seiner Sicht der aus der Gesamtheit der verschiedenen Indizien gezogene Schluss geradezu willkürlich ist (Urteile 6B_1380/2023 vom 25. März 2024 E. 1.3.2; 6B_546/2023 vom 13. November 2023 E. 1.3.2; 6B_184/2022 vom 18. August 2023 E. 1.2.4). Diesen Anforderungen genügt nicht, dass er für eine Verurteilung das Vorliegen des "Original[s] des Schiessausweises" als unabdingbar erachtet, er es als unerklärlich moniert, dass ihm im Jahr zuvor das Jagdpatent mit einer angeblichen Fälschung erteilt worden sei oder aber er sich auf die Richtigkeit seiner Aussagen beruft. Die Vorinstanz legt denn auch dar, weshalb sie sein Vorbringen einer von einer Drittperson vorgenommenen Verfälschung als Schutzbehauptung qualifiziert. Auch hiermit setzt sich der Beschwerdeführer nicht in einer den Anforderungen genügenden Weise auseinander, wenn er sich auf seine immer gleichlautenden und sich nicht widersprechenden Aussagen beruft bzw. geltend macht, dass mit dem Argument blosser Schutzbehauptungen jeder Beschuldigte verurteilt werden könne. Insofern der Beschwerdeführer schliesslich zu Unrecht nicht berücksichtigte, ihn "entlastende Sachverhalte" geltend macht und er sich dabei u.a. darauf beruft, dass er sich während rund 50 Jahren in "jagdlicher Hinsicht" nichts zu Schulden kommen lassen habe, vermag er auch damit - sofern überhaupt zulässig ( Art. 99 Abs. 1 BGG ) - nicht ansatzweise darzutun, inwiefern dies die vorinstanzliche Sachverhaltsfeststellung willkürlich erscheinen lassen könnte.</w:t>
      </w:r>
    </w:p>
    <w:p>
      <w:r>
        <w:rPr>
          <w:b/>
        </w:rPr>
        <w:t>E. 4</w:t>
      </w:r>
    </w:p>
    <w:p>
      <w:r>
        <w:t>Zusammenfassend vermag damit die Beschwerde den gesetzlichen Begründungsanforderungen offensichtlich nicht zu genügen ( Art. 42 Abs. 2 und Art. 106 Abs. 2 BGG ). Auf diese ist folglich im Verfahren nach Art. 108 BGG nicht einzutreten. Die Gerichtskosten sind dem Beschwerdeführer aufzuerlegen ( Art. 66 Abs.1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