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6B_674/2007 vom 27. Februar 2008</w:t>
      </w:r>
    </w:p>
    <w:p>
      <w:r>
        <w:t>Bundesgericht, 2008-02-27, FR</w:t>
      </w:r>
    </w:p>
    <w:p>
      <w:r>
        <w:rPr>
          <w:b/>
        </w:rPr>
        <w:t xml:space="preserve">Quelle: </w:t>
      </w:r>
      <w:r>
        <w:t>https://mcp.opencaselaw.ch/entscheid/bger_6B_674_2007</w:t>
      </w:r>
    </w:p>
    <w:p>
      <w:r>
        <w:t>FR: TF 6B_674/2007 du 27 février 2008</w:t>
      </w:r>
    </w:p>
    <w:p>
      <w:r>
        <w:t>IT: TF 6B_674/2007 del 27 febbraio 2008</w:t>
      </w:r>
    </w:p>
    <w:p>
      <w:pPr>
        <w:pStyle w:val="Heading2"/>
      </w:pPr>
      <w:r>
        <w:t>Erwägungen</w:t>
      </w:r>
    </w:p>
    <w:p>
      <w:r>
        <w:rPr>
          <w:b/>
        </w:rPr>
        <w:t>E. 1</w:t>
      </w:r>
    </w:p>
    <w:p>
      <w:r>
        <w:t>Le recours ordinaire au Tribunal fédéral peut notamment être formé pour violation du droit fédéral ( art. 95 let. a LTF ), y compris les droits constitutionnels. Sous peine d'irrecevabilité, il doit être motivé conformément à l' art. 42 al. 2 LTF , respectivement à l' art. 106 al. 2 LTF pour les griefs mentionnés à cette disposition, dont les exigences correspondent à celles qui résultaient de l' art. 90 al. 1 let. b OJ pour le recours de droit public ( ATF 133 IV 286 consid. 1.4 p. 287).</w:t>
      </w:r>
    </w:p>
    <w:p>
      <w:r>
        <w:rPr>
          <w:b/>
        </w:rPr>
        <w:t>E. 2</w:t>
      </w:r>
    </w:p>
    <w:p>
      <w:r>
        <w:t>Le recourant soutient que le refus de le mettre au bénéfice d'un non-lieu, plutôt que d'un classement, repose sur un état de fait établi arbitrairement. Plus précisément, c'est de manière insoutenable que l'autorité cantonale aurait tenu pour constant qu'il avait adopté un comportement brutal envers son ex-amie en crachant au visage de cette dernière et en l'insultant.</w:t>
      </w:r>
    </w:p>
    <w:p>
      <w:r>
        <w:rPr>
          <w:b/>
        </w:rPr>
        <w:t>E. 2.1</w:t>
      </w:r>
    </w:p>
    <w:p>
      <w:r>
        <w:t>De jurisprudence constante, il ne suffit pas, pour qu'il y ait arbitraire, que la décision attaquée apparaisse discutable ou même critiquable; il faut qu'elle soit manifestement insoutenable et cela non seulement dans sa motivation mais dans son résultat ( ATF 131 I 57 consid. 2 p. 61; 129 I 8 consid. 2.1 p. 9, 173 consid. 3.1 p. 178; 128 I 177 consid. 2.1 p. 182, 273 consid. 2.1 p. 275).</w:t>
      </w:r>
    </w:p>
    <w:p>
      <w:r>
        <w:rPr>
          <w:b/>
        </w:rPr>
        <w:t>E. 2.2</w:t>
      </w:r>
    </w:p>
    <w:p>
      <w:r>
        <w:t>La décision attaquée retient l'existence d'une prévention suffisante de lésions corporelles ou, du moins, de voies de fait, donc d'une atteinte à l'intégrité physique, et non à l'honneur, de la plaignante. Dès lors, même en admettant que le fait contesté, à savoir que le recourant aurait craché au visage de la plaignante et l'aurait injuriée, ne serait pas établi, la décision attaquée ne serait pas pour autant arbitraire dans son résultat.</w:t>
      </w:r>
    </w:p>
    <w:p>
      <w:r>
        <w:t>Pour le surplus, le recourant ne nie pas avoir, par deux fois, violemment giflé la plaignante, au point de la faire tomber, mais admet au contraire expressément, dans le cadre de son grief de violation de l'art. 33 al. 1 aCP, avoir agi de la sorte. Il ne démontre au demeurant pas, ni même ne prétend, que, sur la base du fait ainsi retenu, l'autorité cantonale aurait violé arbitrairement le droit cantonal de procédure en admettant qu'il existait une prévention suffisante de l'infraction en cause et que le prononcé d'un non-lieu était donc exclu.</w:t>
      </w:r>
    </w:p>
    <w:p>
      <w:r>
        <w:t>Le grief doit ainsi être rejeté.</w:t>
      </w:r>
    </w:p>
    <w:p>
      <w:r>
        <w:rPr>
          <w:b/>
        </w:rPr>
        <w:t>E. 3</w:t>
      </w:r>
    </w:p>
    <w:p>
      <w:r>
        <w:t>Le recourant reproche à l'autorité cantonale d'avoir méconnu, en violation de l'art. 33 al. 1 aCP, qu'il a agi en état de légitime défense lorsqu'il a giflé la plaignante. A l'appui, il fait valoir que cette dernière lui avait lancé un cendrier à la tête et avait cassé un verre de bière afin d'en faire un objet tranchant dans l'intention de le blesser.</w:t>
      </w:r>
    </w:p>
    <w:p>
      <w:r>
        <w:rPr>
          <w:b/>
        </w:rPr>
        <w:t>E. 3.1</w:t>
      </w:r>
    </w:p>
    <w:p>
      <w:r>
        <w:t>Les faits remontent au mois de septembre 2005 et sont donc antérieurs à l'entrée en vigueur, le 1er janvier 2007, des nouvelles dispositions de la partie générale du code pénal. Comme l'autorité cantonale, qui a statué après cette date, disposait d'un libre pouvoir d'examen en fait et en droit, se pose la question de la lex mitior ( art. 2 al. 2 CP ).</w:t>
      </w:r>
    </w:p>
    <w:p>
      <w:r>
        <w:t>La règle de l'art. 33 al. 1 aCP a été reprise à l' art. 15 CP et celle de l'art. 33 al. 2 aCP à l' art. 16 CP (cf. Message du 21 septembre 1998 relatif à la modification des dispositions générales du code pénal; FF 1999, 1785 ss, 1811). S'agissant de la légitime défense, respectivement de la défense excusable, il n'y a donc pas de réelle différence entre l'ancien et le nouveau droit. Ce dernier n'est ainsi pas plus favorable au recourant, de sorte que, conformément à l' art. 2 al. 2 CP , l'ancien droit demeure applicable.</w:t>
      </w:r>
    </w:p>
    <w:p>
      <w:r>
        <w:rPr>
          <w:b/>
        </w:rPr>
        <w:t>E. 3.2</w:t>
      </w:r>
    </w:p>
    <w:p>
      <w:r>
        <w:t>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(cf. ATF 106 IV 12 consid. 2a p. 14; 104 IV 232 consid. c p. 236/237). Cette condition n'est pas réalisée lorsque l'attaque a cessé ou qu'il n'y a pas encore lieu de s'y attendre ( ATF 93 IV 83 ). Une attaque n'est cependant pas achevée aussi longtemps que le risque d'une nouvelle atteinte ou d'une aggravation de celle-ci par l'assaillant reste imminent ( ATF 102 IV 1 consid. 2b p. 4/5). Il faut toutefois que des signes concrets annonçant un danger incitent à la défense. Tel est notamment le cas lorsque l'agresseur adopte un comportement menaçant, se prépare au combat ou effectue des gestes qui donnent à le penser ( ATF 93 IV 83 /84).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 ATF 93 IV 83 ).</w:t>
      </w:r>
    </w:p>
    <w:p>
      <w:r>
        <w:rPr>
          <w:b/>
        </w:rPr>
        <w:t>E. 3.3</w:t>
      </w:r>
    </w:p>
    <w:p>
      <w:r>
        <w:t>La décision attaquée retient que la plaignante a jeté un cendrier au visage du recourant, sans toutefois l'atteindre, et qu'elle a envisagé de le blesser avec le verre de bière qu'elle avait cassé, mais ne l'a cependant pas fait. Le recourant a alors violemment giflé la plaignante à deux reprises.</w:t>
      </w:r>
    </w:p>
    <w:p>
      <w:r>
        <w:t>Au vu des faits ainsi retenus, il n'est nullement établi que le recourant aurait giflé la plaignante pour se défendre d'une attaque actuelle ou imminente. Lorsqu'il l'a fait, il n'était plus attaqué, ni menacé de l'être, et rien dans les constatations de fait cantonales ne permet de retenir l'existence de signes concrets d'une nouvelle atteinte de la part de la plaignante. Dans ces conditions, le recourant ne saurait soutenir qu'il a agi en état de légitime défense. Le grief est dès lors infondé.</w:t>
      </w:r>
    </w:p>
    <w:p>
      <w:r>
        <w:rPr>
          <w:b/>
        </w:rPr>
        <w:t>E. 4</w:t>
      </w:r>
    </w:p>
    <w:p>
      <w:r>
        <w:t>Sur le vu de ce qui précède, le recours doit être rejeté. Comme il était d'emblée voué à l'échec, l'assistance judiciaire ne peut être accordée (cf. art. 64 al. 1 LTF ). Le recourant, qui succombe, devra donc supporter les frais ( art. 66 al. 1 LTF ), dont le montant sera toutefois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