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673/2008 vom 8. Oktober 2008</w:t>
      </w:r>
    </w:p>
    <w:p>
      <w:r>
        <w:t>Bundesgericht, 2008-10-08, DE</w:t>
      </w:r>
    </w:p>
    <w:p>
      <w:r>
        <w:rPr>
          <w:b/>
        </w:rPr>
        <w:t xml:space="preserve">Quelle: </w:t>
      </w:r>
      <w:r>
        <w:t>https://mcp.opencaselaw.ch/entscheid/bger_6B_673_2008</w:t>
      </w:r>
    </w:p>
    <w:p>
      <w:r>
        <w:t>FR: TF 6B 673/2008 du 8 octobre 2008</w:t>
      </w:r>
    </w:p>
    <w:p>
      <w:r>
        <w:t>IT: TF 6B 673/2008 del 8 ottobre 2008</w:t>
      </w:r>
    </w:p>
    <w:p>
      <w:pPr>
        <w:pStyle w:val="Heading2"/>
      </w:pPr>
      <w:r>
        <w:t>Regeste</w:t>
      </w:r>
    </w:p>
    <w:p>
      <w:r>
        <w:t>Art. 1 Abs. 1 SVG; Sachverhalts- und Rechtsirrtum (Vereitelung von Massnahmen zur Feststellung der Fahrunfähigkeit; Verletzung von Verkehrsregeln) | Straftaten</w:t>
      </w:r>
    </w:p>
    <w:p>
      <w:pPr>
        <w:pStyle w:val="Heading2"/>
      </w:pPr>
      <w:r>
        <w:t>Erwägungen</w:t>
      </w:r>
    </w:p>
    <w:p>
      <w:r>
        <w:rPr>
          <w:b/>
        </w:rPr>
        <w:t>E. 1</w:t>
      </w:r>
    </w:p>
    <w:p>
      <w:r>
        <w:t>Der Beschwerdeführer macht geltend, das Strassenverkehrsgesetz sei auf dem fraglichen Areal nicht anwendbar. Sollte das nicht zutreffen, sei er wegen Sachverhalts- und Rechtsirrtums von Schuld und Strafe freizusprechen.</w:t>
      </w:r>
    </w:p>
    <w:p>
      <w:r>
        <w:rPr>
          <w:b/>
        </w:rPr>
        <w:t>E. 1.1</w:t>
      </w:r>
    </w:p>
    <w:p>
      <w:r>
        <w:t>Das Strassenverkehrsgesetz ordnet nach seinem Art. 1 Abs. 1 den Verkehr auf den öffentlichen Strassen. Strassen sind die von Motorfahrzeugen, motorlosen Fahrzeugen oder Fussgängern benützten Verkehrsflächen. Öffentlich sind Strassen, die nicht ausschliesslich privatem Gebrauch dienen (Art. 1 Abs. 1 und 2 Verkehrsregelnverordnung). Massgeblich ist dabei nicht, ob die Strasse in privatem oder öffentlichem Eigentum steht, sondern ob sie dem allgemeinen Verkehr dient. Dies trifft zu, wenn sie einem unbestimmten Personenkreis zur Verfügung steht, selbst wenn die Benutzung nach Art oder Zweck eingeschränkt ist ( BGE 104 IV 105 E. 3). Die Begründung für diesen weiten Strassenbegriff, welcher auch rein tatsächlich dem allgemeinen Verkehr offenstehende Strassen mitumfasst und sich insofern nicht vollumfänglich mit dem Begriff der öffentlichen Strasse im Gemeingebrauch nach öffentlich-sachenrechtlicher Terminologie deckt, liegt in der polizeirechtlichen Zielsetzung der Strassenverkehrsgesetzgebung, welche den Schutz der öffentlichen Ordnung und Sicherheit im Strassenverkehr bezweckt und aus Gründen der Gefahrenabwehr nach einer umfassenden Geltung der diesbezüglichen Verbots- und Gebotsnormen (Verkehrsregeln) ruft (Urteil 6B_87/2008 vom 31. Juli 2008, E. 2.2 mit Hinweisen). Die Vorinstanzen nehmen zutreffend an, dass es sich bei der umstrittenen Verkehrsfläche um eine "öffentliche Strasse" im dargestellten Sinne handelt und das SVG gilt. Das Areal oder die Vorplätze des Betonwerks und des Restaurants werden von der Kantonsstrasse her über eine gemeinsame Zufahrtsstrasse erschlossen, welche entlang der Betonmischanlage führt und auch weitere Gewerbebetriebe bedient. Seitlich der Betonmischanlage, entlang dieser Zufahrtsstrasse, ist eine Tafel "Privat-Areal" mit "Parkverbot" angebracht. Ebenfalls am Betonmischwerk befindet sich ein Schild mit der Aufschrift "Unbefugten ist das Betreten verboten". Eine klare und offensichtliche Trennung zwischen dem behaupteten Privatareal und dem Restaurant ist nicht vorhanden. Der Unfall ereignete sich in der Winkelfläche zwischen Betonwerk und Restaurant (bezirksgerichtliches Urteil S. 5 mit Feststellungen der Ortsschau, worauf die Vorinstanz verweist). Will eine Firma ein während der Arbeitszeit dem öffentlichen Verkehr offenstehendes Areal (einen "Vorplatz") nachts oder feiertags auf einen ausschliesslich privaten Gebrauch einschränken, muss dieser Wille Dritten durch ein signalisiertes Verbot oder durch eine Abschrankung kenntlich gemacht sein ( Art. 5 Abs. 1 SVG ). Fehlen solche eindeutigen Vorkehren, bleibt der öffentliche Charakter erhalten (vgl. BGE 104 IV 105 E. 3). Diese Überlegungen sind auf den vorliegenden Fall übertragbar. Das Areal erweist sich grundsätzlich als allgemein zugänglich. Es wird nach den vorinstanzlichen Feststellungen von Restaurantbesuchern benutzt, auch wenn das Restaurant noch über (andere) Parkplätze verfügt. So parkierten Beschwerdeführer und Geschädigter, die sich beide im Restaurant aufhielten, ihre Fahrzeuge in selbstverständlicher Art und Weise auf diesem Areal. Eine solche Nutzung erweist sich damit weder als "mit nichts belegt" noch ist die diesbezügliche vorinstanzliche Annahme "völlig verfehlt, ja unhaltbar und realitätsfremd" (Beschwerde S. 23). Vielmehr widerspricht der Beschwerdeführer mit seinem tatsächlichen Verhalten (stundenlanges Parkieren während des Restaurantaufenthalts) selber seiner diesbezüglichen Argumentation. Das Betonwerk dürfte zudem einen regen Verkehr während der Arbeitszeit bewirken. Es ist unerfindlich, weshalb hier das SVG nicht gelten sollte. Die erwähnten Signalisationen grenzen diese Verkehrsfläche nicht von der Zufahrtsstrasse ab. Schranken oder Barrieren fehlen. Nach Polizeifoto und Skizze des Beschwerdeführers (act. 1.1.4 und 1.1.5) liesse sich der Vorplatz jedenfalls zum Teil auch dem Restaurant zuordnen. So spricht die Anklageschrift vom "Parkplatzareal des Restaurants".</w:t>
      </w:r>
    </w:p>
    <w:p>
      <w:r>
        <w:rPr>
          <w:b/>
        </w:rPr>
        <w:t>E. 1.2</w:t>
      </w:r>
    </w:p>
    <w:p>
      <w:r>
        <w:t>Der Beschwerdeführer wurde im Anklagepunkt wegen Nichtbeherrschens des Fahrzeugs nicht wegen eines Vorsatzdelikts (wie Sachbeschädigung gemäss Art. 144 StGB ), sondern wegen fahrlässiger Zuwiderhandlung gegen das SVG schuldig gesprochen, dessen Geltung er allerdings bestreitet bzw. über dessen Anwendbarkeit er geirrt haben will. Es ist aber nicht ersichtlich, in welcher Form er einem Irrtum unterlegen sein sollte. Er kollidierte wegen unaufmerksamen Rückwärtsfahrens und nicht wegen eines Sachverhalts- oder Rechtsirrtums. Es ist ihm zwar unbenommen die Strafbarkeit zu bestreiten. Das ist aber keine Irrtumsfrage.</w:t>
      </w:r>
    </w:p>
    <w:p>
      <w:r>
        <w:rPr>
          <w:b/>
        </w:rPr>
        <w:t>E. 1.3</w:t>
      </w:r>
    </w:p>
    <w:p>
      <w:r>
        <w:t>Die Massnahmen zur Feststellung der Fahrunfähigkeit will er verweigert haben, weil er die Anlasstat seiner Meinung nach auf einem Areal beging, auf dem das SVG nicht gilt. Er wurde indessen vor der Tat (den Vereitelungshandlungen) durch die durch die Anordnungen der zuständigen Behörden manifestierte Rechtsauffassung über die Rechtslage hinreichend aufgeklärt. Das dies angesichts des nicht kooperativen Verhaltens des Beschwerdeführers nichts fruchtete, ändert daran nichts. Er handelte somit in Kenntnis der Sachlage und nicht "in einer irrigen Vorstellung über den Sachverhalt" ( Art. 13 StGB ). Es ist zudem nicht ersichtlich, wie er sich in dieser Situation mit Erfolg auf einen Irrtum über die Rechtswidrigkeit berufen will. Das kann nur, "wer bei Begehung der Tat nicht weiss und nicht wissen kann, dass er sich rechtswidrig verhält" ( Art. 21 StGB ), d.h. zureichende Gründe zur Annahme hatte, er tue überhaupt nichts Unrechtes ( BGE 128 IV 201 E. 2). Er hat sich nicht geirrt, sondern sich schlicht den Anordnungen widersetzt.</w:t>
      </w:r>
    </w:p>
    <w:p>
      <w:r>
        <w:rPr>
          <w:b/>
        </w:rPr>
        <w:t>E. 2</w:t>
      </w:r>
    </w:p>
    <w:p>
      <w:r>
        <w:t>Bei diesem Ausgang des Verfahrens ist auf die Beschwerde im Übrigen nicht mehr einzutreten (oben E. C). Die Beschwerde ist abzuweisen, soweit darauf einzutreten ist. Der Beschwerdeführer unterliegt in tatsächlicher und rechtlicher Hinsicht und wird entsprechend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