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6B_672/2018 vom 20. September 2018</w:t>
      </w:r>
    </w:p>
    <w:p>
      <w:r>
        <w:t>Bundesgericht, 2018-09-20, FR</w:t>
      </w:r>
    </w:p>
    <w:p>
      <w:r>
        <w:rPr>
          <w:b/>
        </w:rPr>
        <w:t xml:space="preserve">Quelle: </w:t>
      </w:r>
      <w:r>
        <w:t>https://mcp.opencaselaw.ch/entscheid/bger_6B_672_2018</w:t>
      </w:r>
    </w:p>
    <w:p>
      <w:r>
        <w:t>FR: TF 6B_672/2018 du 20 septembre 2018</w:t>
      </w:r>
    </w:p>
    <w:p>
      <w:r>
        <w:t>IT: TF 6B_672/2018 del 20 settembre 2018</w:t>
      </w:r>
    </w:p>
    <w:p>
      <w:pPr>
        <w:pStyle w:val="Heading2"/>
      </w:pPr>
      <w:r>
        <w:t>Erwägungen</w:t>
      </w:r>
    </w:p>
    <w:p>
      <w:r>
        <w:rPr>
          <w:b/>
        </w:rPr>
        <w:t>E. 1</w:t>
      </w:r>
    </w:p>
    <w:p>
      <w:r>
        <w:t>Le recourant reproche à la cour cantonale d'avoir condamné l'intimé sur la base de l'art. 90 al. 1 et non de l'art. 90 al. 2 de la loi fédérale sur la circulation routière (LCR; RS 741.01).</w:t>
      </w:r>
    </w:p>
    <w:p>
      <w:r>
        <w:rPr>
          <w:b/>
        </w:rPr>
        <w:t>E. 1.1</w:t>
      </w:r>
    </w:p>
    <w:p>
      <w:r>
        <w:t>Conformément à l' art. 90 LCR ,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 art. 90 al. 2 LCR , il faut procéder à une appréciation aussi bien objective que subjective.</w:t>
      </w:r>
    </w:p>
    <w:p>
      <w:r>
        <w:t>D'un point de vue objectif, la violation grave d'une règle de circulation au sens de l' art. 90 al. 2 LCR suppose que l'auteur ait mis sérieusement en danger la sécurité du trafic. Il y a création d'un danger sérieux pour la sécurité d'autrui non seulement en cas de mise en danger concrète, mais déjà en cas de mise en danger abstraite accrue ( ATF 143 IV 508 consid. 1.3 p. 512; 142 IV 93 consid. 3.1 p. 96; 131 IV 133 consid. 3.2 p. 136).</w:t>
      </w:r>
    </w:p>
    <w:p>
      <w:r>
        <w:t>Subjectivement, l'état de fait de l' 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 ATF 131 IV 133 consid. 3.2 p. 136; arrêt 6B_1300/2016 du 5 décembre 2017 consid. 2.1.2 non publié aux ATF 143 IV 500 ). Plus la violation de la règle de la circulation est objectivement grave, plus on admettra l'existence d'une absence de scrupule, sauf indice particulier permettant de retenir le contraire ( ATF 142 IV 93 consid. 3.1 p. 96).</w:t>
      </w:r>
    </w:p>
    <w:p>
      <w:r>
        <w:t>Dans le domaine des excès de vitesse, la jurisprudence a été amenée à fixer des règles précises afin d'assurer l'égalité de traitement. Ainsi, le cas est objectivement grave au sens de l' art. 90 al. 2 LCR ,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 ATF 143 IV 508 consid. 1.3 p. 512; 132 II 234 consid. 3.1 p. 237 s.; 124 II 259 consid. 2b p. 261 ss; 123 II 106 consid. 2c p. 113 et les références citées). Cependant, la jurisprudence admet que dans des circonstances exceptionnelles, il y a lieu d'exclure l'application du cas grave alors même que le seuil de l'excès de vitesse fixé a été atteint (cf. ATF 143 IV 508 consid. 1.3 p. 512 s.). Ainsi, sous l'angle de l'absence de scrupules, le Tribunal fédéral a retenu que le cas grave n'était pas réalisé lorsque la vitesse avait été limitée provisoirement à 80 km/h sur un tronçon autoroutier pour des motifs écologiques liés à une présence excessive de particules fines dans l'air (arrêt 6B_109/2008 du 13 juin 2008 consid. 3.2; voir également le considérant 1.3.2 de l'arrêt 6B_444/2016 du 3 avril 2017), ou encore lorsque la limitation de vitesse violée relevait notamment de mesures de modération du trafic (arrêt 6B_622/2009 du 23 octobre 2009 consid. 3.5).</w:t>
      </w:r>
    </w:p>
    <w:p>
      <w:r>
        <w:rPr>
          <w:b/>
        </w:rPr>
        <w:t>E. 1.2</w:t>
      </w:r>
    </w:p>
    <w:p>
      <w:r>
        <w:t>La cour cantonale a exposé que l'excès de vitesse avait eu lieu sur un tracé de route rectiligne, alors que les conditions de circulation étaient bonnes (bonne visibilité, route sèche, trafic fluide, beau temps). D'ordinaire, la vitesse sur le tronçon en cause était limitée à 80 km/h. Le 1er février 2017, elle était toutefois abaissée à 40 km/h, dans les deux sens de circulation, en raison de travaux sur la chaussée opposée à celle empruntée par l'intimé. L'appareil radar qui avait photographié sa voiture était installé à la fin de la zone des travaux, adossé à la dernière barrière, dans le sens de circulation de l'intéressé. L'intimé avait admis les faits, indiquant qu'il effectuait ce trajet quotidiennement afin d'amener ses enfants à l'école. Il avait indiqué avoir ralenti, le jour des faits, en arrivant à hauteur des travaux - alors même qu'il n'y avait aucun obstacle sur la route, notamment aucun ouvrier -, puis avoir accéléré à la hauteur de la fin du chantier.</w:t>
      </w:r>
    </w:p>
    <w:p>
      <w:r>
        <w:t>L'autorité précédente a considéré que des circonstances exceptionnelles étaient réalisées. En accélérant en prévision de la fin du chantier, l'intimé avait circulé, à 1 km/h près, à la vitesse normalement autorisée sur le tronçon en question. En l'absence de relevés métriques, voire d'une expertise permettant d'identifier précisément la hauteur, par rapport à la fin des travaux - qui se trouvait également constituer l'emplacement du radar -, à laquelle l'intimé avait commencé à accélérer pour atteindre la vitesse à laquelle sa voiture avait été photographiée, il convenait de retenir que l'intéressé était tout proche de cette limite. Ainsi, selon la cour cantonale, l'intimé avait certes commis un excès de vitesse qui, objectivement, tombait sous le coup de l' art. 90 al. 2 LCR , mais dans un contexte particulier, soit alors que la vitesse était abaissée à cause des risques causés par la présence du chantier sur la chaussée opposée. A la fin du chantier, dans le sens de marche de l'intimé, les conditions concrètes de circulation étaient celles qui se présentaient d'ordinaire sur le tronçon, soit des conditions permettant de rouler à 80 km/h. Cela permettait exceptionnellement d'exclure que l'intéressé eût fait preuve d'absence de scrupules, nonobstant l'ampleur de son excès de vitesse. Il convenait en définitive, pour la cour cantonale, de retenir une violation simple des règles de la LCR.</w:t>
      </w:r>
    </w:p>
    <w:p>
      <w:r>
        <w:rPr>
          <w:b/>
        </w:rPr>
        <w:t>E. 1.3</w:t>
      </w:r>
    </w:p>
    <w:p>
      <w:r>
        <w:t>Le raisonnement de la cour cantonale ne saurait être suivi. En effet, la limitation de vitesse, circonscrite aux abords du chantier, était en l'occurrence destinée à protéger celui-ci et en particulier les personnes y travaillant. Or, comme l'a déjà relevé le Tribunal fédéral, la présence d'un chantier sur la chaussée doit inciter les conducteurs à une attention et une prudence accrues (cf. arrêt 6B_444/2016 précité consid. 1.3.2). Contrairement aux situations prévalant dans les cas mentionnés par l'autorité précédente (arrêts 6B_109/2008 précité; 6B_622/2009 précité), la chaussée était en l'espèce physiquement entravée - fût-ce sur la voie de circulation inverse - par des travaux, ceux-ci devant par ailleurs laisser prévoir la présence d'ouvriers alentour. L'intimé devait tenir compte de cette présence potentielle, quand bien même - selon l'état de fait de la cour cantonale qui lie le Tribunal fédéral (cf. art. 105 al. 1 LTF ) - il n'y avait pas de tiers à la sortie des abords du chantier. En outre, il ressort de l'arrêt attaqué que l'intimé n'a pas accéléré après avoir dépassé le chantier et avant de quitter la zone de limitation de vitesse, mais qu'il l'a fait avant d'atteindre la hauteur de la fin des travaux, de manière à circuler à 81 km/h - marge de sécurité déduite - au moment de quitter cet emplacement. L'excès de vitesse commis par l'intimé aux abords d'un chantier a ainsi été réalisé sans scrupule.</w:t>
      </w:r>
    </w:p>
    <w:p>
      <w:r>
        <w:t>En conséquence, le cas devait être qualifié de grave, tant objectivement que subjectivement, au regard de la jurisprudence précitée (cf. consid. 1.1 supra). On ne voit pas quelle circonstance exceptionnelle aurait permis de considérer que le l'excès de vitesse commis par l'intimé n'aurait pas été grave au sens de l' art. 90 al. 2 LCR . La cour cantonale a donc violé le droit fédéral en condamnant l'intimé sur la base de l' art. 90 al. 1 LCR . Le recours doit être admis sur ce point, l'arrêt attaqué annulé et la cause renvoyée à l'autorité cantonale afin qu'elle condamne l'intimé pour violation grave des règles de la circulation au sens de l' art. 90 al. 2 LCR .</w:t>
      </w:r>
    </w:p>
    <w:p>
      <w:r>
        <w:rPr>
          <w:b/>
        </w:rPr>
        <w:t>E. 2</w:t>
      </w:r>
    </w:p>
    <w:p>
      <w:r>
        <w:t>Le recours doit être admis. Il n'y a pas lieu d'allouer une indemnité au recourant, qui obtient gain de cause (cf. art. 68 al. 3 LTF ). L'intimé, qui a conclu au rejet du recours et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