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6B_66/2016 vom 1. März 2016</w:t>
      </w:r>
    </w:p>
    <w:p>
      <w:r>
        <w:t>Bundesgericht, 2016-03-01, DE</w:t>
      </w:r>
    </w:p>
    <w:p>
      <w:r>
        <w:rPr>
          <w:b/>
        </w:rPr>
        <w:t xml:space="preserve">Quelle: </w:t>
      </w:r>
      <w:r>
        <w:t>https://mcp.opencaselaw.ch/entscheid/bger_6B_66_2016</w:t>
      </w:r>
    </w:p>
    <w:p>
      <w:r>
        <w:t>FR: TF 6B_66/2016 du 1 mars 2016</w:t>
      </w:r>
    </w:p>
    <w:p>
      <w:r>
        <w:t>IT: TF 6B_66/2016 del 1 marzo 2016</w:t>
      </w:r>
    </w:p>
    <w:p>
      <w:pPr>
        <w:pStyle w:val="Heading2"/>
      </w:pPr>
      <w:r>
        <w:t>Erwägungen</w:t>
      </w:r>
    </w:p>
    <w:p>
      <w:r>
        <w:rPr>
          <w:b/>
        </w:rPr>
        <w:t>E. 1</w:t>
      </w:r>
    </w:p>
    <w:p>
      <w:r>
        <w:t>Der Beschwerdeführerin wurden mit Verfügungen vom 21. Januar und 9. Februar 2016 eine Frist und die gesetzlich vorgeschriebene Nachfrist angesetzt bis zum 22. Februar 2016, um dem Bundesgericht einen Kostenvorschuss von Fr. 2'000.-- einzuzahlen, ansonsten auf das Rechtsmittel nicht eingetreten werde.</w:t>
      </w:r>
    </w:p>
    <w:p>
      <w:r>
        <w:t>Am letzten Tag der Nachfrist beantragte die Beschwerdeführerin, es sei auf den Kostenvorschuss zu verzichten. Einerseits macht sie geltend, sie habe nur wegen der vom Staat geschossenen "Böcke" den Rechtsmittelweg beschreiten müssen und sei im Übrigen das Opfer eines äusserst raffinierten Verbrechers geworden. Damit ist sie nicht zu hören, weil grundsätzlich jede Person, die das Bundesgericht anruft, einen Kostenvorschuss bezahlen muss ( Art. 62 Abs. 1 BGG ). Anderseits bringt sie vor, das einzige Geld, dass sie noch "flüssig" habe, benötige sie für die Renovation der von ihr vermieteten Wohnungen. Soweit dies ein Gesuch um unentgeltliche Rechtspflege sein soll, ist es abzuweisen, weil mit der reinen Behauptung, das vorhandene Geld für Renovationen zu benötigen, nicht nachgewiesen werden kann, dass die betroffene Person bedürftig im Sinne von Art. 64 BGG ist.</w:t>
      </w:r>
    </w:p>
    <w:p>
      <w:r>
        <w:t>Da der Kostenvorschuss auch innert der Nachfrist nicht einging, ist auf die Beschwerde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