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6B_669/2019 vom 4. Juli 2019</w:t>
      </w:r>
    </w:p>
    <w:p>
      <w:r>
        <w:t>Bundesgericht, 2019-07-04, FR</w:t>
      </w:r>
    </w:p>
    <w:p>
      <w:r>
        <w:rPr>
          <w:b/>
        </w:rPr>
        <w:t xml:space="preserve">Quelle: </w:t>
      </w:r>
      <w:r>
        <w:t>https://mcp.opencaselaw.ch/entscheid/bger_6B_669_2019</w:t>
      </w:r>
    </w:p>
    <w:p>
      <w:r>
        <w:t>FR: TF 6B_669/2019 du 4 juillet 2019</w:t>
      </w:r>
    </w:p>
    <w:p>
      <w:r>
        <w:t>IT: TF 6B_669/2019 del 4 luglio 2019</w:t>
      </w:r>
    </w:p>
    <w:p>
      <w:pPr>
        <w:pStyle w:val="Heading2"/>
      </w:pPr>
      <w:r>
        <w:t>Erwägungen</w:t>
      </w:r>
    </w:p>
    <w:p>
      <w:r>
        <w:rPr>
          <w:b/>
        </w:rPr>
        <w:t>E. 1</w:t>
      </w:r>
    </w:p>
    <w:p>
      <w:r>
        <w:t>Par arrêt du 28 mai 2019, la Chambre pénale de recours de la Cour de justice de la République et canton de Genève a rejeté le recours formé par X.________ contre l'ordonnance de non-entrée en matière rendue le 20 février 2019 par le Ministère public genevois à la suite de la plainte déposée par le prénommé contre inconnu.</w:t>
      </w:r>
    </w:p>
    <w:p>
      <w:r>
        <w:t>X.________ forme un recours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substance, le recourant soutient avoir fait plusieurs réactions allergiques importantes lorsqu'il se trouvait dans l'une des salles de son collège. Il reproche, notamment aux autorités scolaires, de n'avoir rien entrepris pour assainir la salle de classe en question. S'agissant des prétentions civiles, le recourant se contente d'affirmer qu'il a subi des préjudices financiers et qu'il souhaite des dommages et intérêts. Le recourant ne se détermine ni sur le principe, ni sur la quotité d'un éventuel tort moral ou dommage. La simple affirmation du recourant, pas plus que la nature de l'affaire ne permettent de comprendre précisément ce qui fonderait sa qualité pour recourir en matière pénale au Tribunal fédéral. L'absence d'explications suffisantes sur la question des prétentions civiles lui dénie la qualité pour recourir sur le fond de la cause.</w:t>
      </w:r>
    </w:p>
    <w:p>
      <w:r>
        <w:t>Quoi qu'il en soit, à supposer que le recourant disposerait de la qualité pour recourir, son recours serait de toute façon irrecevable pour les motifs suivants.</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Le recourant ne formule aucune conclusion. En outre, son argumentation consiste uniquement en une vaste rediscussion des faits. Ce faisant, il ne fait qu'opposer sa propre version à celle de la cour cantonale, dans une démarche purement appellatoire. Il en va de même lorsque le recourant se fonde sur des faits non constatés dans l'arrêt attaqué, sans qu'il ne cherche à démontrer qu'ils auraient été arbitrairement omis. Les critiques du recourant ne répondent ainsi pas aux exigences de motivation accrues de l' art. 106 al. 2 LTF et sont, par conséquent, irrecevables. Pour le surplus, le recourant ne démontre aucunement en quoi les considérations cantonales violeraient le droit et ne présente aucun grief répondant aux exigences de motivation de l' art. 42 al. 2 LTF .</w:t>
      </w:r>
    </w:p>
    <w:p>
      <w:r>
        <w:rPr>
          <w:b/>
        </w:rPr>
        <w:t>E. 3</w:t>
      </w:r>
    </w:p>
    <w:p>
      <w:r>
        <w:t>Sur le vu de ce qui précède, le recours doit être déclaré irrecevable selon la procédure simplifiée prévue par l' art. 108 al. 1 let. a et b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