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667/2021 vom 4. Juli 2022</w:t>
      </w:r>
    </w:p>
    <w:p>
      <w:r>
        <w:t>Bundesgericht, 2022-07-04, FR</w:t>
      </w:r>
    </w:p>
    <w:p>
      <w:r>
        <w:rPr>
          <w:b/>
        </w:rPr>
        <w:t xml:space="preserve">Quelle: </w:t>
      </w:r>
      <w:r>
        <w:t>https://mcp.opencaselaw.ch/entscheid/bger_6B_667_2021</w:t>
      </w:r>
    </w:p>
    <w:p>
      <w:r>
        <w:t>FR: TF 6B 667/2021 du 4 juillet 2022</w:t>
      </w:r>
    </w:p>
    <w:p>
      <w:r>
        <w:t>IT: TF 6B 667/2021 del 4 luglio 2022</w:t>
      </w:r>
    </w:p>
    <w:p>
      <w:pPr>
        <w:pStyle w:val="Heading2"/>
      </w:pPr>
      <w:r>
        <w:t>Regeste</w:t>
      </w:r>
    </w:p>
    <w:p>
      <w:r>
        <w:t>Injure; violence ou menace contre les autorités et les fonctionnaires; ordonnance pénale ; retrait de l'opposition | Infractions</w:t>
      </w:r>
    </w:p>
    <w:p>
      <w:pPr>
        <w:pStyle w:val="Heading2"/>
      </w:pPr>
      <w:r>
        <w:t>Erwägungen</w:t>
      </w:r>
    </w:p>
    <w:p>
      <w:r>
        <w:rPr>
          <w:b/>
        </w:rPr>
        <w:t>E. 1</w:t>
      </w:r>
    </w:p>
    <w:p>
      <w:r>
        <w:t>Les écritures déposées par le recourant postérieurement à l'échéance du délai de recours sont irrecevables (cf. art. 100 LTF ).</w:t>
      </w:r>
    </w:p>
    <w:p>
      <w:r>
        <w:rPr>
          <w:b/>
        </w:rPr>
        <w:t>E. 2</w:t>
      </w:r>
    </w:p>
    <w:p>
      <w:r>
        <w:t>Invoquant une violation de l' art. 356 al. 4 CPP , le recourant reproche à la cour cantonale d'avoir jugé que le premier juge avait retenu à bon droit que son opposition devait être tenue pour retirée, et que sa condamnation était devenue définitive et exécutoire.</w:t>
      </w:r>
    </w:p>
    <w:p>
      <w:r>
        <w:rPr>
          <w:b/>
        </w:rPr>
        <w:t>E. 2.1</w:t>
      </w:r>
    </w:p>
    <w:p>
      <w:r>
        <w:t>Aux termes de l' art. 205 al. 1 CPP , quiconque est cité à comparaître par une autorité pénale est tenu de donner suite au mandat de comparution. Celui qui est empêché de donner suite à un mandat de comparution doit en informer sans délai l'autorité qui l'a décerné; il doit indiquer les motifs de son empêchement et lui présenter les pièces justificatives éventuelles ( art. 205 al. 2 CPP ).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 ATF 127 I 213 consid. 3a; arrêt 6B_1113/2020 du 25 mars 2021 consid. 3.1 et les arrêts cités). Dans le cadre de l'opposition à l'ordonnance pénale, l' art. 356 al. 4 CPP précise que si l'opposant fait défaut aux débats sans être excusé et sans se faire représenter, son opposition est réputée retirée. Cette disposition consacre une fiction légale de retrait de l'opposition en cas de défaut injustifié, à l'instar de l' art. 355 al. 2 CPP , auquel elle correspond ( ATF 146 IV 30 consid. 1.1.1; 142 IV 158 consid. 3.1 et 3.5). Eu égard aux spécificités de la procédure de l'ordonnance pénale, l' art. 356 al. 4 CPP doit être interprété à la lumière de la garantie constitutionnelle ( art. 29a Cst. ) et conventionnelle ( art. 6 par. 1 CEDH ) de l'accès au juge, dont l'opposition ( art. 354 CPP ) vise à assurer le respect en conférant à la personne concernée la faculté de soumettre sa cause à l'examen d'un tribunal ( ATF 146 IV 30 consid. 1.1.1; cf. également ATF 146 IV 286 consid. 2.2; 142 IV 158 consid. 3.1 et 3.4; 140 IV 82 consid. 2.3 et 2.6). En ce sens, la fiction de retrait de l'opposition consacrée par l' art. 356 al. 4 CPP ne s'applique que si l'opposant a effectivement eu connaissance de la citation à comparaître et des conséquences du défaut. La fiction légale du retrait ne peut s'appliquer que si l'on peut déduire de bonne foi ( art. 3 al. 2 let. a CPP ) du défaut non excusé un désintérêt pour la suite de la procédure, lorsque l'opposant a conscience des conséquences de son omission et renonce à ses droits en connaissance de cause ( ATF 146 IV 30 consid. 1.1.1; cf. également ATF 146 IV 286 consid. 2.2; 142 IV 158 consid. 3.1 et consid. 3.3; 140 IV 82 consid. 2.3 et consid. 2.5). Demeurent réservés les cas d'abus de droit ( ATF 146 IV 30 consid. 1.1.1; 142 IV 158 consid. 3.4; cf. ATF 140 IV 82 consid. 2.7). Lorsque la direction de la procédure a exigé la présence du prévenu, la fiction du retrait déduite de l' art. 356 al. 4 CPP vaut même lorsque le prévenu ne comparaît pas et seul son avocat se présente (arrêts 6B_144/2020 du 3 février 2021 consid. 1.2.2; 6B_1201/2018 du 15 octobre 2019 consid. 4.3.1 et 4.4.2; 6B_1298/2018 du 21 mars 2019 consid. 3.1, non publié in ATF 145 I 201 et les arrêts cités).</w:t>
      </w:r>
    </w:p>
    <w:p>
      <w:r>
        <w:rPr>
          <w:b/>
        </w:rPr>
        <w:t>E. 2.2</w:t>
      </w:r>
    </w:p>
    <w:p>
      <w:r>
        <w:t>En l'espèce, le recourant fait en substance valoir que son défenseur d'office devait être considéré comme un représentant valable au sens des art. 128 ss CPP et qu'ainsi représenté, il n'aurait pas dû être considéré comme défaillant. Il ressort quoi qu'il en soit de l'arrêt attaqué que le recourant a été valablement cité à comparaître et qu'il a reçu, par retrait au guichet postal, la citation le concernant. Il en ressort également, ce que le recourant semble perdre de vue, que la citation à comparaître à l'audience du 2 novembre 2020 exigeait bel et bien sa présence personnelle, tout en faisant expressément mention des conséquences d'un éventuel défaut. Les juges précédents ont en outre constaté, sans que cela soit contesté, que le recourant n'avait présenté aucune demande de dispense de comparution personnelle et que son défenseur d'office avait d'ailleurs confirmé qu'il ne le représentait pas. En tout état, la cour cantonale a rappelé à juste titre la jurisprudence citée plus haut, au terme de laquelle la fiction du retrait déduite de l' art. 356 al. 4 CPP vaut, si la comparution personnelle est exigée comme en l'occurrence, même lorsque le prévenu ne comparaît pas et seul son avocat se présente. Conforme à la jurisprudence topique, l'arrêt attaqué ne prête ainsi pas le flanc à la critique. Dans cette mesure également, les développements du recourant quant à l'existence de pouvoirs de représentation au profit de son défenseur s'avèrent eux aussi vains et la cour cantonale était fondée à considérer que les arguments de cette nature développés devant elle n'avaient pas d'objet. En définitive, la cour cantonale n'a pas violé le droit fédéral en confirmant l'application de l' art. 356 al. 4 CPP dans le cas d'espèce. Les griefs du recourant doivent être rejetés.</w:t>
      </w:r>
    </w:p>
    <w:p>
      <w:r>
        <w:rPr>
          <w:b/>
        </w:rPr>
        <w:t>E. 3</w:t>
      </w:r>
    </w:p>
    <w:p>
      <w:r>
        <w:t>Il s'ensuit que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