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6B_667/2016 vom 25. Januar 2017</w:t>
      </w:r>
    </w:p>
    <w:p>
      <w:r>
        <w:t>Bundesgericht, 2017-01-25, DE</w:t>
      </w:r>
    </w:p>
    <w:p>
      <w:r>
        <w:rPr>
          <w:b/>
        </w:rPr>
        <w:t xml:space="preserve">Quelle: </w:t>
      </w:r>
      <w:r>
        <w:t>https://mcp.opencaselaw.ch/entscheid/bger_6B_667_2016</w:t>
      </w:r>
    </w:p>
    <w:p>
      <w:r>
        <w:t>FR: TF 6B_667/2016 du 25 janvier 2017</w:t>
      </w:r>
    </w:p>
    <w:p>
      <w:r>
        <w:t>IT: TF 6B_667/2016 del 25 gennaio 2017</w:t>
      </w:r>
    </w:p>
    <w:p>
      <w:pPr>
        <w:pStyle w:val="Heading2"/>
      </w:pPr>
      <w:r>
        <w:t>Erwägungen</w:t>
      </w:r>
    </w:p>
    <w:p>
      <w:r>
        <w:rPr>
          <w:b/>
        </w:rPr>
        <w:t>E. 1.1</w:t>
      </w:r>
    </w:p>
    <w:p>
      <w:r>
        <w:t>Der Beschwerdeführer macht zusammengefasst geltend, B.________ habe die Schriftstücke vom 7. und 19. Februar 2011 in Verletzung sowohl des Vertraulichkeitsgrundsatzes im Verwaltungsverfahren als auch des Amtsgeheimnisses an die Staatsanwaltschaft weitergeleitet. Diese Beweise seien somit in rechtswidriger Weise durch B.________ erhoben worden und daher unverwertbar. Ebenso unverwertbar seien die darauf gestützt erhobenen Folgebeweise. Die Vorinstanz erwägt in diesem Zusammenhang, dass kein Amtsgeheimnis verletzt worden sei.</w:t>
      </w:r>
    </w:p>
    <w:p>
      <w:r>
        <w:rPr>
          <w:b/>
        </w:rPr>
        <w:t>E. 1.2</w:t>
      </w:r>
    </w:p>
    <w:p>
      <w:r>
        <w:t>Nach Art. 141 StPO dürfen Beweise, die Strafbehörden in strafbarer Weise oder unter Verletzung von Gültigkeitsvorschriften erhoben haben, nicht verwertet werden, es sei denn, ihre Verwertung sei zur Aufklärung schwerer Straftaten unerlässlich (Abs. 2). Beweise, bei deren Erhebung Ordnungsvorschriften verletzt worden sind, sind verwertbar (Abs. 3). Nach der Rechtsprechung sind auch die von Privaten rechtswidrig erlangte Beweismittel nur verwertbar, wenn sie von den Strafverfolgungsbehörden rechtmässig hätten erlangt werden können und kumulativ dazu eine Interessenabwägung für deren Verwertung spricht (Urteil 1B_76/2016 vom 30. März 2016 E. 2.2; Urteil 6B_786/2015 vom 8. Februar 2016 E. 1.2; je mit Hinweisen). Die Beweisverwertungsverbote von Art. 141 StPO betreffen mithin nur Beweise, die durch die Strafverfolgungsbehörde oder Private durch ein eigenes aktives Tun gesammelt worden sind. Dies ist vorliegend nicht der Fall. B.________ erhielt die zur Diskussion stehenden Schriftstücke vom Beschwerdeführer zugestellt. Er übermittelte sie an die Staatsanwaltschaft, welche sie somit ebenfalls ohne eigenes Zutun erhielt. Für eine allenfalls rechtswidrige Weiterleitung von Beweismitteln an eine Strafverfolgungsbehörde sieht Art. 141 StPO kein Beweisverwertungsverbot vor. Die Rüge ist unbegründet.</w:t>
      </w:r>
    </w:p>
    <w:p>
      <w:r>
        <w:rPr>
          <w:b/>
        </w:rPr>
        <w:t>E. 2</w:t>
      </w:r>
    </w:p>
    <w:p>
      <w:r>
        <w:t>Soweit der Beschwerdeführer eine Verletzung von Art. 170 StPO rügt, ist auf die Beschwerde nicht einzutreten. Der Beschwerdeführer verweist diesbezüglich einzig auf seine Berufungsbegründung vom 8. Mai 2014 (Beschwerde, S. 13), was den Begründungsanforderungen von Art. 42 Abs. 2 BGG nicht genügt. Die Begründung muss in der Beschwerde selbst enthalten sein; der blosse Verweis auf Ausführungen in andern Rechtsschriften oder auf die Akten reicht nicht aus ( BGE 140 III 115 E. 2 mit Hinweisen).</w:t>
      </w:r>
    </w:p>
    <w:p>
      <w:r>
        <w:rPr>
          <w:b/>
        </w:rPr>
        <w:t>E. 3</w:t>
      </w:r>
    </w:p>
    <w:p>
      <w:r>
        <w:t>Die Beschwerde ist abzuweisen, soweit darauf eingetreten werden kann. Die Kosten sind dem unterliegenden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