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6B_666/2009 vom 24. September 2009</w:t>
      </w:r>
    </w:p>
    <w:p>
      <w:r>
        <w:t>Bundesgericht, 2009-09-24, DE</w:t>
      </w:r>
    </w:p>
    <w:p>
      <w:r>
        <w:rPr>
          <w:b/>
        </w:rPr>
        <w:t xml:space="preserve">Quelle: </w:t>
      </w:r>
      <w:r>
        <w:t>https://mcp.opencaselaw.ch/entscheid/bger_6B_666_2009</w:t>
      </w:r>
    </w:p>
    <w:p>
      <w:r>
        <w:t>FR: TF 6B_666/2009 du 24 septembre 2009</w:t>
      </w:r>
    </w:p>
    <w:p>
      <w:r>
        <w:t>IT: TF 6B_666/2009 del 24 settembre 2009</w:t>
      </w:r>
    </w:p>
    <w:p>
      <w:pPr>
        <w:pStyle w:val="Heading2"/>
      </w:pPr>
      <w:r>
        <w:t>Erwägungen</w:t>
      </w:r>
    </w:p>
    <w:p>
      <w:r>
        <w:rPr>
          <w:b/>
        </w:rPr>
        <w:t>E. 1</w:t>
      </w:r>
    </w:p>
    <w:p>
      <w:r>
        <w:t>Der Beschwerdeführer rügt, die objektiven Voraussetzungen für die Annahme einer groben Verkehrsregelverletzung nach Art. 90 Ziff. 2 SVG seien nicht erfüllt.</w:t>
      </w:r>
    </w:p>
    <w:p>
      <w:r>
        <w:rPr>
          <w:b/>
        </w:rPr>
        <w:t>E. 1.1</w:t>
      </w:r>
    </w:p>
    <w:p>
      <w:r>
        <w:t>Nach Art. 90 Ziff.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für die Erfüllung des Tatbestands von Art. 90 Ziff. 2 SVG , wenn in Anbetracht der Umstände der Eintritt einer konkreten Gefährdung oder gar einer Verletzung nahe liegt ( BGE 131 IV 133 E. 3.2 S. 136; 130 IV 32 E. 5.1 S. 40, je mit Hinweisen).</w:t>
      </w:r>
    </w:p>
    <w:p>
      <w:r>
        <w:rPr>
          <w:b/>
        </w:rPr>
        <w:t>E. 1.2</w:t>
      </w:r>
    </w:p>
    <w:p>
      <w:r>
        <w:t>Nach Art. 31 Abs. 1 SVG muss der Führer das Fahrzeug ständig so beherrschen, dass er seinen Vorsichtspflichten nachkommen kann. Er muss seine Aufmerksamkeit der Strasse und dem Verkehr zuwenden. Er darf beim Fahren keine Verrichtung vornehmen, welche die Bedienung des Fahrzeugs erschwert, und hat dafür zu sorgen, dass seine Aufmerksamkeit insbesondere durch Tonwiedergabegeräte sowie Kommunikations- und Informationssysteme nicht beeinträchtigt wird ( Art. 3 Abs. 1 VRV ).</w:t>
      </w:r>
    </w:p>
    <w:p>
      <w:r>
        <w:rPr>
          <w:b/>
        </w:rPr>
        <w:t>E. 1.3</w:t>
      </w:r>
    </w:p>
    <w:p>
      <w:r>
        <w:t>Gemäss der verbindlichen Feststellung der Vorinstanz ( Art. 105 Abs. 1 BGG ) fuhr der Beschwerdeführer am 25. Oktober 2006 um ca. 23.15 Uhr mit einem Personenwagen auf der Muristrasse in Obfelden in Richtung Ottenbach. Da er während der Fahrt mit dem Schreiben einer SMS beschäftigt war und mangels genügender Beherrschung des Fahrzeuges, kam er in der Linkskurve auf der Höhe der Hausnummer 24 rechts von der Strasse ab und kollidierte mit dem Knotengitterzaun am Strassenrand, wobei er fünf Holzzaunpfähle umfuhr. Die Vorinstanz ging von guten nächtlichen Sichtverhältnissen aus. Sie bejahte eine erhebliche Gefährdung anderer Verkehrsteilnehmer mit der Begründung, letztlich sei es nur dem Zufall überlassen gewesen, dass an jener Stelle kein Fahrrad unterwegs war, womit auch bei einer wenig befahrenen Strasse und nachts durchaus zu rechnen sei.</w:t>
      </w:r>
    </w:p>
    <w:p>
      <w:r>
        <w:rPr>
          <w:b/>
        </w:rPr>
        <w:t>E. 1.4</w:t>
      </w:r>
    </w:p>
    <w:p>
      <w:r>
        <w:t>Der Beschwerdeführer missachtete die Bestimmungen von Art. 31 Abs. 1 SVG und Art. 3 Abs. 1 VRV , da er beim Fahren sein Mobiltelefon bediente und seine Aufmerksamkeit nicht mehr der Strasse zuwandte, was zur Folge hatte, dass er von der Fahrbahn abkam. Er verletzte damit objektiv wichtige Verkehrsvorschriften. Hätten sich zu gegebenem Zeitpunkt an der betreffenden Stelle ein Fahrradfahrer oder andere Verkehrsteilnehmer aufgehalten, wäre der Beschwerdeführer, wie die Vorinstanz zutreffend festhielt, trotz guter nächtlicher Sicht, nicht in der Lage gewesen, einen Zusammenstoss zu verhindern. Unerheblich ist, dass sich der Selbstunfall auf einer in der Nacht nur wenig befahrenen Strasse ereignete. Eine erhöhte abstrakte Gefährdung und damit eine ernstliche Gefahr für die Sicherheit anderer Verkehrsteilnehmer ist zu bejahen. Der Beschwerdeführer machte sich der groben Verletzung von Verkehrsregeln im Sinne von Art. 90 Ziff. 2 SVG schuldig.</w:t>
      </w:r>
    </w:p>
    <w:p>
      <w:r>
        <w:rPr>
          <w:b/>
        </w:rPr>
        <w:t>E. 2</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