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665/2013 vom 29. August 2013</w:t>
      </w:r>
    </w:p>
    <w:p>
      <w:r>
        <w:t>Bundesgericht, 2013-08-29, FR</w:t>
      </w:r>
    </w:p>
    <w:p>
      <w:r>
        <w:rPr>
          <w:b/>
        </w:rPr>
        <w:t xml:space="preserve">Quelle: </w:t>
      </w:r>
      <w:r>
        <w:t>https://mcp.opencaselaw.ch/entscheid/bger_6B_665_2013</w:t>
      </w:r>
    </w:p>
    <w:p>
      <w:r>
        <w:t>FR: TF 6B 665/2013 du 29 août 2013</w:t>
      </w:r>
    </w:p>
    <w:p>
      <w:r>
        <w:t>IT: TF 6B 665/2013 del 29 agosto 2013</w:t>
      </w:r>
    </w:p>
    <w:p>
      <w:pPr>
        <w:pStyle w:val="Heading2"/>
      </w:pPr>
      <w:r>
        <w:t>Regeste</w:t>
      </w:r>
    </w:p>
    <w:p>
      <w:r>
        <w:t>Ordonnance de classement | Droit pénal (en général)</w:t>
      </w:r>
    </w:p>
    <w:p>
      <w:pPr>
        <w:pStyle w:val="Heading2"/>
      </w:pPr>
      <w:r>
        <w:t>Erwägungen</w:t>
      </w:r>
    </w:p>
    <w:p>
      <w:r>
        <w:rPr>
          <w:b/>
        </w:rPr>
        <w:t>E. 1</w:t>
      </w:r>
    </w:p>
    <w:p>
      <w:r>
        <w:t>Le 3 décembre 2012, le Ministère public neuchâtelois a ordonné le classement de la procédure pénale dirigée contre X.________ et A.________ pour blanchiment d'argent. Il a rejeté les demandes de libération de séquestre formulées par Me B.________ et ordonné la restitution des biens et valeurs séquestrés en faveur de leurs titulaires, à savoir X.________, A.________ et les sociétés C.________ AG, D.________ AG ainsi que E.________ Inc. Le 12 juin 2013, l'Autorité de recours en matière pénale du Tribunal cantonal neuchâtelois a annulé l'ordonnance de classement du 3 décembre 2012 et invité le Ministère public neuchâtelois à procéder à divers actes d'instruction complémentaire. En bref, la cour cantonale a considéré qu'une demande de renseignements complémentaires s'imposait au regard de la poursuite pénale slovaque ouverte le 27 janvier 2010 contre X.________ et du fait que les fonds bloqués en Suisse pourraient avoir un lien avec cette dernière. Un complément d'instruction se justifiait d'autant plus que les fonds déposés en Suisse par X.________ ou l'une de ses sociétés provenaient directement de tiers, qu'ils atteignaient des montants considérables et que l'on ne pouvait exclure qu'à l'issue de l'instruction complémentaire, un tribunal suisse parvienne à la conclusion que des actes de blanchiment d'argent avaient été commis. X.________ interjette un recours en matière pénale contre l'arrêt cantonal.</w:t>
      </w:r>
    </w:p>
    <w:p>
      <w:r>
        <w:rPr>
          <w:b/>
        </w:rPr>
        <w:t>E. 2</w:t>
      </w:r>
    </w:p>
    <w:p>
      <w:r>
        <w:t>L'arrêt attaqué, qui ne met pas fin à la procédure pénale ouverte contre le recourant, revêt un caractère incident. Le recours en matière pénale n'est recevable contre une décision incidente que si elle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Par ailleurs, l' art. 93 al. 1 let. b LTF doit faire l'objet d'une interprétation restrictive en matière pénale ( ATF 133 IV 288 consid. 3.2 p. 292; arrêt 6B_782/2008 du 12 mai 2009 consid. 1.4.1-1.4.3 in Pra 2009 n° 115 p. 787). A juste titre, le recourant ne prétend pas subir un préjudice juridique qui ne pourra être réparé par une décision finale ultérieure, ni que l'admission de son recours pourrait aboutir immédiatement à une décision finale qui permettrait d'éviter une procédure probatoire longue et coûteuse.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3</w:t>
      </w:r>
    </w:p>
    <w:p>
      <w:r>
        <w:t>Exceptionnellement, le présent arrêt peut être rendu sans frais (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