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6B_664/2015 vom 18. September 2015</w:t>
      </w:r>
    </w:p>
    <w:p>
      <w:r>
        <w:t>Bundesgericht, 2015-09-18, FR</w:t>
      </w:r>
    </w:p>
    <w:p>
      <w:r>
        <w:rPr>
          <w:b/>
        </w:rPr>
        <w:t xml:space="preserve">Quelle: </w:t>
      </w:r>
      <w:r>
        <w:t>https://mcp.opencaselaw.ch/entscheid/bger_6B_664_2015</w:t>
      </w:r>
    </w:p>
    <w:p>
      <w:r>
        <w:t>FR: TF 6B_664/2015 du 18 septembre 2015</w:t>
      </w:r>
    </w:p>
    <w:p>
      <w:r>
        <w:t>IT: TF 6B_664/2015 del 18 settembre 2015</w:t>
      </w:r>
    </w:p>
    <w:p>
      <w:pPr>
        <w:pStyle w:val="Heading2"/>
      </w:pPr>
      <w:r>
        <w:t>Erwägungen</w:t>
      </w:r>
    </w:p>
    <w:p>
      <w:r>
        <w:rPr>
          <w:b/>
        </w:rPr>
        <w:t>E. 1</w:t>
      </w:r>
    </w:p>
    <w:p>
      <w:r>
        <w:t>Le recourant ne remet pas en cause le verdict de culpabilité rendu par la cour cantonale. S'en prenant exclusivement à la fixation de la peine sous l'angle de l' art. 48 let . e CP, il reproche à l'autorité précédente d'avoir ignoré cette disposition.</w:t>
      </w:r>
    </w:p>
    <w:p>
      <w:r>
        <w:rPr>
          <w:b/>
        </w:rPr>
        <w:t>E. 1.1</w:t>
      </w:r>
    </w:p>
    <w:p>
      <w:r>
        <w:t>L' art. 48 let .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 art. 48 let . e CP lorsque les deux tiers du délai de prescription de l'action pénale ont été atteints. Le juge peut toutefois réduire ce délai pour tenir compte de la nature et de la gravité de l'infraction ( ATF 140 IV 145 consid. 3.1 p. 147 s.; 132 IV 1 consid.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 132 IV 1 consid. 6.2.1 p. 4).</w:t>
      </w:r>
    </w:p>
    <w:p>
      <w:r>
        <w:rPr>
          <w:b/>
        </w:rPr>
        <w:t>E. 1.2</w:t>
      </w:r>
    </w:p>
    <w:p>
      <w:r>
        <w:t>S'agissant de la fixation de la peine, la cour cantonale a déclaré faire siennes les constatations du Tribunal correctionnel, notamment la conclusion des premiers juges selon laquelle il n'existait aucun élément déterminant à la décharge du prévenu " sous réserve de l'ancienneté des faits " (jugement entrepris, consid. 6 p. 19 s.; jugement du 21 janvier 2015, consid. 4 p. 20). Elle a encore précisé que " malgré l'écoulement du temps, la peine est adéquate, la culpabilité du recourant étant lourde objectivement et subjectivement " (jugement entrepris, consid. 6 p. 20). Il découle de la motivation du jugement attaqué que la cour cantonale a tenu compte de l'écoulement du temps depuis la commission des infractions dans le cadre général de la fixation de la peine au sens de l' art. 47 CP . En revanche, elle n'a pas appliqué la circonstance atténuante de l' art. 48 let . e CP, comme cela ressort également du dispositif du jugement attaqué. Le recourant invoquant l'application de cette disposition en sa faveur, il sied de déterminer si les conditions en sont réunies.</w:t>
      </w:r>
    </w:p>
    <w:p>
      <w:r>
        <w:rPr>
          <w:b/>
        </w:rPr>
        <w:t>E. 1.3</w:t>
      </w:r>
    </w:p>
    <w:p>
      <w:r>
        <w:t>Selon l'état de fait cantonal, les atteintes à l'intégrité sexuelle de Y.________ ont été commises entre l'été 2003 et septembre 2005. S'agissant d'actes séparés et ponctuels, qui se sont déroulés à des moments différents durant plusieurs années, une unité d'action est exclue ( ATF 131 IV 83 consid. 2.4 p. 90 s.; arrêt 6S.397/2005 du 13 novembre 2005 consid. 2). La commission de chacun des actes fait donc partir son propre délai de prescription ( art. 98 let. a CP ). Les infractions de viol ( art. 190 CP ), contrainte sexuelle ( art. 189 CP ) et actes d'ordre sexuel avec des enfants ( art. 187 CP ) se prescrivant par quinze ans ( art. 97 al. 1 let. b CP ), les deux tiers du délai de prescription correspondent à une durée de dix ans, étant précisé que les art. 97 al. 2 et 101 let . c CP sont sans portée en l'espèce. Lorsque la cour cantonale a statué le 8 juin 2015, plus des deux tiers du délai de prescription s'étaient donc écoulés s'agissant de tous les actes antérieurs au 9 juin 2005. En revanche, ce terme n'était pas atteint pour les actes commis après le 8 juin 2005.</w:t>
      </w:r>
    </w:p>
    <w:p>
      <w:r>
        <w:t>La première condition cumulative de l' art. 48 let . e CP étant remplie s'agissant des actes commis entre l'été 2003 et le 8 juin 2005, il convient de rechercher si la seconde condition cumulative, relative au bon comportement de l'auteur, l'est également. Selon les constatations cantonales, que le recourant ne critique pas, des abus ont été commis jusqu'en septembre 2005. Il s'ensuit que le recourant ne peut prétendre s'être bien comporté jusqu'en septembre 2005, soit durant une partie de l'intervalle correspondant aux deux tiers du délai de prescription pour l'ensemble des infractions en question. Par ailleurs, la gravité objective des faits ne justifie d'aucune manière de prendre en considération un délai plus court que les deux tiers du délai de prescription. De surcroît, le recourant s'est encore signalé en mars 2013 par une infraction à la LCR. Il en découle que la seconde condition cumulative de l' art. 48 let . e CP n'est pas remplie.</w:t>
      </w:r>
    </w:p>
    <w:p>
      <w:r>
        <w:t>La cour cantonale n'a donc pas violé le droit fédéral en ne mettant pas le recourant au bénéfice de l' art. 48 let . e CP. On renvoie, pour le surplus, quant à la quotité de la peine et à l'application de l' art. 47 CP , aux considérants des autorités cantonales, qui ne prêtent pas le flanc à la critique ( art. 109 al. 3 LTF ).</w:t>
      </w:r>
    </w:p>
    <w:p>
      <w:r>
        <w:rPr>
          <w:b/>
        </w:rPr>
        <w:t>E. 2</w:t>
      </w:r>
    </w:p>
    <w:p>
      <w:r>
        <w:t>Le recours doit ainsi être rejeté. 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