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6B_663/2017 vom 21. Februar 2018</w:t>
      </w:r>
    </w:p>
    <w:p>
      <w:r>
        <w:t>Bundesgericht, 2018-02-21, FR</w:t>
      </w:r>
    </w:p>
    <w:p>
      <w:r>
        <w:rPr>
          <w:b/>
        </w:rPr>
        <w:t xml:space="preserve">Quelle: </w:t>
      </w:r>
      <w:r>
        <w:t>https://mcp.opencaselaw.ch/entscheid/bger_6B_663_2017</w:t>
      </w:r>
    </w:p>
    <w:p>
      <w:r>
        <w:t>FR: TF 6B_663/2017 du 21 février 2018</w:t>
      </w:r>
    </w:p>
    <w:p>
      <w:r>
        <w:t>IT: TF 6B_663/2017 del 21 febbraio 2018</w:t>
      </w:r>
    </w:p>
    <w:p>
      <w:pPr>
        <w:pStyle w:val="Heading2"/>
      </w:pPr>
      <w:r>
        <w:t>Erwägungen</w:t>
      </w:r>
    </w:p>
    <w:p>
      <w:r>
        <w:rPr>
          <w:b/>
        </w:rPr>
        <w:t>E. 1</w:t>
      </w:r>
    </w:p>
    <w:p>
      <w:r>
        <w:t>Le recourant se plaint de la violation de la présomption d'innocence.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arrêt 6B_179/2017 du 29 septembre 2017 consid. 3.1). Le Tribunal fédéral n'entre ainsi pas en matière sur les critiques de nature appellatoire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rPr>
          <w:b/>
        </w:rPr>
        <w:t>E. 2</w:t>
      </w:r>
    </w:p>
    <w:p>
      <w:r>
        <w:t>Le recourant énumère un certain nombre de griefs (certificats médicaux de l'intimée qui n'auraient aucune valeur probante, non-prise en compte du fait qu'une patiente effectuait des exercices dans la salle de fitness attenante à celle de consultation, prise en considération erronée du fait que le médecin qui a établi le certificat médical était l'ami du recourant et, enfin, qu'il était contradictoire, pour l'intimée, alors qu'elle indiquait ressentir une grande gêne du fait des attouchements sur son sexe, de se rendre à la dernière consultation vêtue d'un string) dont les développements s'épuisent principalement en une rediscussion des moyens de preuve pris en considération par l'autorité précédente, à laquelle il oppose sa propre appréciation. Une telle démarche, essentiellement appellatoire, ne répond pas aux exigences de motivation déduites de l' art. 106 al. 2 LTF . La recevabilité de ces développements est douteuse et l'on se limitera, dans la suite, à répondre brièvement aux arguments du recourant qui n'apparaissent pas immédiatement irrecevables.</w:t>
      </w:r>
    </w:p>
    <w:p>
      <w:r>
        <w:rPr>
          <w:b/>
        </w:rPr>
        <w:t>E. 2.1</w:t>
      </w:r>
    </w:p>
    <w:p>
      <w:r>
        <w:t>Le recourant reproche à la cour cantonale de ne pas avoir tenu compte de sa situation professionnelle et personnelle. Certes, son casier judiciaire est vierge. Toutefois, comme l'a relevé à juste titre la cour cantonale, si les renseignements sur le recourant sont effectivement favorables, ils n'excluent aucunement la commission des infractions.</w:t>
      </w:r>
    </w:p>
    <w:p>
      <w:r>
        <w:rPr>
          <w:b/>
        </w:rPr>
        <w:t>E. 2.2</w:t>
      </w:r>
    </w:p>
    <w:p>
      <w:r>
        <w:t>Le recourant soutient qu'aucune preuve matérielle ne vient étayer les déclarations de l'intimée. Il relève en particulier l'absence d'ADN sur l'intimée et ses sous-vêtements. Cet élément était suffisant, à son avis, pour laisser planer un doute irréductible sur sa culpabilité.</w:t>
      </w:r>
    </w:p>
    <w:p>
      <w:r>
        <w:t>Les juges cantonaux ont expliqué que le manque de dépôt ADN était dû au fait qu'il s'agissait de rechercher uniquement des cellules épithéliales de la main, que l'intimée s'était lavée après les faits litigieux et qu'il s'était écoulé un certain laps de temps avant l'analyse du sous-vêtement, qui était par ailleurs tâché d'huile de massage. Dès lors, on ne pouvait tirer aucune conclusion de l'absence d'ADN sur la véracité des déclarations de l'intimée. A l'encontre de cette appréciation, le recourant procède à sa propre interprétation de l'absence de traces ADN dans le sens qui l'arrange (conservation du string dans une boîte en carton et remise à la police, ce qui aurait dû permettre de trouver une trace ADN, présence d'huile non prouvée) sans démontrer dans quelle mesure l'appréciation de l'autorité précédente serait arbitraire. Le grief est irrecevable. Il sied en outre de préciser, d'une part, que le recourant ne conteste pas que l'intimée se serait lavée et, d'autre part, que l'absence d'ADN ne suffit pas à disculper le recourant, dès lors que l'appréciation de l'autorité précédente est fondée sur d'autres éléments (cf. consid. 2.3 infra).</w:t>
      </w:r>
    </w:p>
    <w:p>
      <w:r>
        <w:rPr>
          <w:b/>
        </w:rPr>
        <w:t>E. 2.3</w:t>
      </w:r>
    </w:p>
    <w:p>
      <w:r>
        <w:t>Le recourant s'en prend largement aux déclarations de l'intimée. Il reproche aux juges cantonaux d'avoir retenu les déclarations de cette dernière, qu'il juge insuffisantes et contradictoires pour fonder une condamnation. Il considère en outre que la cour cantonale a versé dans l'arbitraire en retenant qu'il avait varié dans ses déclarations; il souligne qu'il a toujours nié de manière catégorique les faits. Enfin, de son point de vue, le comportement de la victime après les faits ne correspond pas à celui d'une femme victime d'attouchements.</w:t>
      </w:r>
    </w:p>
    <w:p>
      <w:r>
        <w:rPr>
          <w:b/>
        </w:rPr>
        <w:t>E. 2.3.1</w:t>
      </w:r>
    </w:p>
    <w:p>
      <w:r>
        <w:t>Ce faisant, le recourant n'invoque aucun élément de preuve que le jugement attaqué aurait ignoré. Ce dernier fait état de la modification des déclarations du recourant, celui-ci admettant d'abord qu'il pouvait avoir glissé sa main vers l'intérieur des fesses de l'intimée et avoir effleuré par mégarde son sexe, sans s'en être aperçu, contestant ensuite ces déclarations, invoquant avoir signé son procès-verbal sans le relire. Par ailleurs, l'ensemble des déclarations faites lors de l'audition du 11 novembre 2015 devant la police montrait que le recourant avait été particulièrement précis s'agissant des zones du corps touchées par ses manipulations, explications accompagnées d'un schéma annexé au procès-verbal. Enfin, le recourant avait admis avoir fait une remarque sur la poitrine de l'intimée, avant de se rétracter. De l'avis de la cour cantonale, le motif donné au revirement n'était pas crédible.</w:t>
      </w:r>
    </w:p>
    <w:p>
      <w:r>
        <w:t>La cour cantonale a ensuite procédé à l'analyse des déclarations de l'intimée et à son comportement après les faits. Elle a longuement expliqué en quoi son récit lui apparaissait crédible, à savoir qu'il était détaillé, mesuré et qu'il comportait une progression dans l'intensité des actes délictueux, ce qui rendait la description des attouchements particulièrement crédible, ce d'autant qu'elle a demandé à sa mère de l'accompagner pour la dernière séance de physiothérapie. Outre ces déclarations, la cour cantonale a retenu le témoignage de la mère de la victime sur les circonstances du dévoilement, qui accrédite la version des faits de celle-ci. Par ailleurs, le rapport de son gynécologue corroborait la description des faits, puisqu'il relevait des troubles du sommeil et de fréquents lavages des parties intimes, réaction typique de victimes d'abus sexuels. Le même jour, l'intimée s'était ensuite rendue au poste de police pour déposer plainte puis le lendemain à l'unité de médecine des violences pour se soumettre à un nouvel examen médical. Enfin, le jugement attaqué fait état d'attouchements de plus en plus insistants jusqu'à la pénétration digitale de la dernière séance, ce qui pouvait s'expliquer à la fois par des pulsions sexuelles de plus en plus affirmées du recourant et par la passivité de l'intimée, qui avait tout juste 18 ans et était particulièrement timide. Il retient également que l'intimée, aussitôt après avoir subi les faits les plus graves, avait indiqué au médecin avoir honte de s'être comportée aussi naïvement. Cela expliquait pourquoi il y avait eu autant de consultations avant que l'intimée ne dénonce les faits et pourquoi elle avait souhaité se faire accompagner par sa mère à la dernière séance de consultation. Par conséquent, la cour cantonale a constaté que l'intimée avait entrepris toutes les démarches pour autant que faire se peut favoriser la constatation de l'infraction et que son comportement après les faits tendait à démontrer la réalité des abus. En outre, il paraissait invraisemblable que l'intimée ait accompli toutes ces démarches si elle n'avait pas été réellement victime des attouchements qu'elle a décrits avec précision aux différents intervenants.</w:t>
      </w:r>
    </w:p>
    <w:p>
      <w:r>
        <w:rPr>
          <w:b/>
        </w:rPr>
        <w:t>E. 2.3.2</w:t>
      </w:r>
    </w:p>
    <w:p>
      <w:r>
        <w:t>A l'encontre de ce raisonnement, le recourant se contente d'invoquer ses propres déclarations et celles de l'intimée qui l'arrangent, sans démontrer en quoi la valeur probante donnée à celles qui l'incriminent serait arbitraire. Il se contente de faire valoir, dans une démarche purement appellatoire, que les accusations de l'intimée ne correspondent pas aux déclarations faites à sa mère et que le rapport du gynécologue n'est pas objectif, puisque reposant uniquement sur le récit de sa patiente. Enfin, il ne démontre pas plus en quoi l'appréciation par l'autorité précédente du comportement de la victime après les faits serait insoutenable. Au demeurant, en présence de déclarations divergentes des protagonistes, ce qui est souvent le cas dans les affaires de moeurs, une condamnation qui repose sur des indices concluants qui privilégient la thèse de la victime n'est en rien arbitraire et ne viole pas la présomption d'innocence. Tel est le cas en l'espèce, les juges cantonaux s'étant basés sur une série d'éléments convergents pour asseoir leur conviction (cf. supra consid. 2.3.1). Ils se sont ainsi clairement forgé une conviction et n'ont pas violé la présomption d'innocence. Les éléments d'appréciation retenus échappent à l'arbitraire.</w:t>
      </w:r>
    </w:p>
    <w:p>
      <w:r>
        <w:rPr>
          <w:b/>
        </w:rPr>
        <w:t>E. 3</w:t>
      </w:r>
    </w:p>
    <w:p>
      <w:r>
        <w:t>Pour le surplus, le recourant ne discute ni les conditions d'application de l' art. 191 CP , ni la peine prononcée au sens de l' art. 47 CP (cf. art. 42 al. 2 LTF ).</w:t>
      </w:r>
    </w:p>
    <w:p>
      <w:r>
        <w:rPr>
          <w:b/>
        </w:rPr>
        <w:t>E. 4</w:t>
      </w:r>
    </w:p>
    <w:p>
      <w:r>
        <w:t>Au vu de ce qui précède, le recours doit être rejeté dans la faible mesure de sa recevabilité. Les frais judiciaires doivent être mis à la charge du recourant ( art. 66 al. 1 LTF ). La victime, intimée, qui n'a pas été amenée à se déterminer, n'a pas droit à des dépens.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