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662/2020 vom 18. August 2020</w:t>
      </w:r>
    </w:p>
    <w:p>
      <w:r>
        <w:t>Bundesgericht, 2020-08-18, FR</w:t>
      </w:r>
    </w:p>
    <w:p>
      <w:r>
        <w:rPr>
          <w:b/>
        </w:rPr>
        <w:t xml:space="preserve">Quelle: </w:t>
      </w:r>
      <w:r>
        <w:t>https://mcp.opencaselaw.ch/entscheid/bger_6B_662_2020</w:t>
      </w:r>
    </w:p>
    <w:p>
      <w:r>
        <w:t>FR: TF 6B 662/2020 du 18 août 2020</w:t>
      </w:r>
    </w:p>
    <w:p>
      <w:r>
        <w:t>IT: TF 6B 662/2020 del 18 agosto 2020</w:t>
      </w:r>
    </w:p>
    <w:p>
      <w:pPr>
        <w:pStyle w:val="Heading2"/>
      </w:pPr>
      <w:r>
        <w:t>Regeste</w:t>
      </w:r>
    </w:p>
    <w:p>
      <w:r>
        <w:t>Opposition à une ordonnance pénale | Droit pénal (en général)</w:t>
      </w:r>
    </w:p>
    <w:p>
      <w:pPr>
        <w:pStyle w:val="Heading2"/>
      </w:pPr>
      <w:r>
        <w:t>Erwägungen</w:t>
      </w:r>
    </w:p>
    <w:p>
      <w:r>
        <w:rPr>
          <w:b/>
        </w:rPr>
        <w:t>E. 1</w:t>
      </w:r>
    </w:p>
    <w:p>
      <w:r>
        <w:t>En résumé, le recourant indique que l'arrêt du 8 mai 2020 a été adressé à son nom, au n° xxx, route H.________, à G.________ (France). Il ne s'agirait toutefois pas de son adresse, mais de celle de son ex-épouse qui lui aurait transmis le courrier en question. Il serait domicilié au n° yyy, route I.________, à J.________ (France), soit à l'adresse figurant sur son permis de travail G, dont il produit une copie. Par ailleurs, son frère, F.________, utiliserait un faux permis G au nom du recourant, qui se serait lui-même trouvé au Maroc au moment des faits litigieux, comme cela ressortirait des timbres figurant sur son passeport dont il produit également une copie.</w:t>
      </w:r>
    </w:p>
    <w:p>
      <w:r>
        <w:rPr>
          <w:b/>
        </w:rPr>
        <w:t>E. 1.1</w:t>
      </w:r>
    </w:p>
    <w:p>
      <w:r>
        <w:t>En application de l' art. 99 al. 1 LTF , les faits et moyens de preuve nouveaux sont prohibés, sauf s'ils résultent de la décision de l'autorité précédente. A l'appui de son recours, le recourant produit une copie de son permis G, afin d'établir son adresse de domicile, ainsi qu'une copie de son passeport afin de démontrer qu'il était au Maroc au moment de la commission des faits litigieux. S'agissant de la copie de son permis G, cette pièce, certes nouvelle, est recevable devant le Tribunal fédéral. En tant que le recourant tente, ainsi, de démontrer qu'il n'a eu connaissance de la procédure qu'au moment de la communication fortuite de la décision de la cour cantonale, respectivement, l'absence de notification valable tout au long de la procédure, il faut considérer qu'il produit un élément destiné à établir l'existence d'un vice de procédure, en particulier une violation de son droit d'être entendu, qui ne pouvait être invoqué plus tôt (cf. BERNARD CORBOZ, in Commentaire de la LTF, 2e éd. 2014, no 23 ad art. 99 LTF ). La copie de son permis G est donc recevable. Quant à la recevabilité de la copie de son passeport, la question peut demeurer indécise au vu du sort de son recours.</w:t>
      </w:r>
    </w:p>
    <w:p>
      <w:r>
        <w:rPr>
          <w:b/>
        </w:rPr>
        <w:t>E. 1.2</w:t>
      </w:r>
    </w:p>
    <w:p>
      <w:r>
        <w:t>En vertu de l' art. 353 al. 3 CPP , l'ordonnance pénale est immédiatement notifiée par écrit aux personnes et aux autorités qui ont qualité pour former opposition. Selon l' art. 85 CPP , sauf disposition contraire du CPP, les communications des autorités pénales sont notifiées en la forme écrite (al. 1); les autorités pénales notifient leurs prononcés - dont les ordonnances (cf. art. 80 al. 1 2 ème phrase CPP) - par lettre signature ou par tout autre mode de communication impliquant un accusé de réception, notamment par l'entremise de la police (al. 2); le prononcé est réputé notifié lorsqu'il est remis au destinataire, à l'un de ses employés ou à toute personne de plus de seize ans vivant dans le même ménage, les directives des autorités pénales concernant une communication à adresser personnellement au destinataire étant réservées (al. 3). Toute communication doit être notifiée au domicile, au lieu de résidence habituelle ou au siège du destinataire ( art. 87 al. 1 CPP ); les parties et leur conseil qui ont leur domicile, leur résidence habituelle ou leur siège à l'étranger sont tenus de désigner un domicile de notification en Suisse, les instruments internationaux prévoyant la possibilité de notification directe étant réservés ( art. 87 al. 2 CPP ); si les parties sont pourvues d'un conseil juridique, les communications sont valablement notifiées à celui-ci ( art. 87 al. 3 CPP ). Selon l' art. 85 al. 4 let. a CPP ,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Il est admis que la personne concernée doit s'attendre à la remise d'un prononcé lorsqu'elle est au courant qu'elle fait l'objet d'une instruction pénale au sens de l' art. 309 CPP ( ATF 146 IV 30 consid. 1.1.2 p. 33).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 ATF 142 IV 125 consid. 4.3 p. 128 et les arrêts cités).</w:t>
      </w:r>
    </w:p>
    <w:p>
      <w:r>
        <w:rPr>
          <w:b/>
        </w:rPr>
        <w:t>E. 1.3</w:t>
      </w:r>
    </w:p>
    <w:p>
      <w:r>
        <w:t>En substance, la cour cantonale a estimé que le tribunal de première instance devait se contenter d'examiner la validité de l'opposition formée à l'ordonnance pénale. Elle n'avait pas à entrer en matière sur le fond, comme elle l'avait fait en mettant en doute l'auteur des faits. Le tribunal de police aurait dû constater qu'aucune opposition n'avait été formée contre l'ordonnance pénale querellée, ni par son destinataire, ni par quelqu'un qui aurait prétendu agir pour lui. En l'absence d'une opposition valable, la cour cantonale a constaté l'entrée en force de l'ordonnance pénale du 19 septembre 2019. Le raisonnement de la cour cantonale ne peut être suivi. Celle-ci part de la prémisse que l'ordonnance pénale a été valablement notifiée au recourant. On comprend toutefois des écritures du recourant qu'il n'a jamais eu connaissance de l'ordonnance pénale litigieuse, pas plus que de l'existence de la procédure en cause. A cet égard, il ressort de la copie du permis G produite par le recourant qu'il est domicilié au n° yyy, route I.________, à J.________ (France). Or, l'ordonnance pénale a été notifiée à une adresse à D.________ (France). En outre, le lendemain de cette " notification ", E.________, détenteur du véhicule, a adressé un courrier au SdC exposant qu'il avait prêté celui-ci à F.________, frère du recourant, domicilié à D.________. Le recourant soutient que son frère F.________ détiendrait un faux permis G au nom du recourant. Même si cette allégation n'est pas établie à ce stade, elle permettrait d'expliquer comment le recommandé au nom du recourant adressé à l'adresse de D.________ a pu être retiré à la Poste. Par ailleurs, le numéro du permis G dont copie a été produite par le recourant ne correspond pas à celui reproduit dans le rapport de police comme ayant figuré sur le permis G ayant servi à établir l'identité du conducteur du véhicule le jour des faits litigieux (cf. art. 105 al. 2 LTF ; dossier cantonal, rapport de police du 7 août 2019). Au vu de l'ensemble de ces éléments, il existe un doute sérieux quant à la notification de l'ordonnance pénale au recourant si bien qu'il y a lieu de se fonder sur ses déclarations. L'autorité n'a ainsi pas établi avoir valablement notifié l'ordonnance pénale du 19 septembre 2019 au recourant si bien qu'elle doit en supporter les conséquences. En l'absence d'une notification valable, l'ordonnance pénale ne déploie aucun effet juridique et ne fait pas partir les délais ( ATF 142 IV 201 consid. 2.4 p. 205). Par conséquent, c'est en violation du droit fédéral que la cour cantonale a constaté l'entrée en force de l'ordonnance pénale du 19 septembre 2019. L'arrêt attaqué sera annulé et la cause renvoyée au SdC (cf. art. 107 al. 2, 2ème phrase LTF). En principe, le SdC devrait notifier valablement, c'est-à-dire à l'adresse de domicile du recourant, l'ordonnance pénale du 19 septembre 2019. Toutefois, au vu du contenu des écritures du recourant, celui-ci a déjà manifesté son intention de former opposition à dite ordonnance. Par économie de procédure, il incombera ainsi au SdC de reprendre la procédure conformément à l' art. 355 CPP , c'est-à-dire après opposition valablement formée. Dans ce cadre, une copie des écritures du recourant et de ses annexes seront transmises au SdC. Il lui incombera d'administrer les preuves qu'il estime nécessaires (cf. art. 355 al. 1 CPP ), notamment quant à l'absence à l'étranger du recourant au moment des faits litigieux. Si, dans le cadre de ses investigations, le SdC devait découvrir qu'une ou des autre (s) infraction (s), en particulier en relation avec une éventuelle fausse autorisation frontalière ou de séjour, a/ont été commise (s), il lui incombera de dénoncer ces faits à l'autorité compétente.</w:t>
      </w:r>
    </w:p>
    <w:p>
      <w:r>
        <w:rPr>
          <w:b/>
        </w:rPr>
        <w:t>E. 2</w:t>
      </w:r>
    </w:p>
    <w:p>
      <w:r>
        <w:t>Au vu de ce qui précède, le recours doit être admis, l'arrêt attaqué annulé et la cause renvoyée, en application de l'art. 107 al. 2, 2ème phrase LTF, au SdC pour reprise de la procédure conformément à l' art. 355 CPP . Au regard de la nature procédurale du vice examiné et dans la mesure où le Tribunal fédéral n'a pas traité la cause sur le fond, ne préjugeant ainsi pas de l'issue de celle-ci, il peut être procédé au renvoi sans ordonner préalablement un échange d'écritures (cf. ATF 133 IV 293 consid. 3.4.2 p. 296; arrêt 6B_30/2020 du 6 avril 2020 consid. 2; 6B_103/2020 du 10 mars 2020 consid. 3). Le recourant obtient gain de cause. Il ne supporte pas de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