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6B_662/2019 vom 23. August 2019</w:t>
      </w:r>
    </w:p>
    <w:p>
      <w:r>
        <w:t>Bundesgericht, 2019-08-23, FR</w:t>
      </w:r>
    </w:p>
    <w:p>
      <w:r>
        <w:rPr>
          <w:b/>
        </w:rPr>
        <w:t xml:space="preserve">Quelle: </w:t>
      </w:r>
      <w:r>
        <w:t>https://mcp.opencaselaw.ch/entscheid/bger_6B_662_2019</w:t>
      </w:r>
    </w:p>
    <w:p>
      <w:r>
        <w:t>FR: TF 6B_662/2019 du 23 août 2019</w:t>
      </w:r>
    </w:p>
    <w:p>
      <w:r>
        <w:t>IT: TF 6B_662/2019 del 23 agosto 2019</w:t>
      </w:r>
    </w:p>
    <w:p>
      <w:pPr>
        <w:pStyle w:val="Heading2"/>
      </w:pPr>
      <w:r>
        <w:t>Erwägungen</w:t>
      </w:r>
    </w:p>
    <w:p>
      <w:r>
        <w:rPr>
          <w:b/>
        </w:rPr>
        <w:t>E. 1</w:t>
      </w:r>
    </w:p>
    <w:p>
      <w:r>
        <w:t>Le recourant conteste le refus d'entrer en matière concernant sa demande de révision.</w:t>
      </w:r>
    </w:p>
    <w:p>
      <w:r>
        <w:rPr>
          <w:b/>
        </w:rPr>
        <w:t>E. 1.1</w:t>
      </w:r>
    </w:p>
    <w:p>
      <w:r>
        <w:t>Aux termes de l' art. 410 al. 1 let. a CPP , 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w:t>
      </w:r>
    </w:p>
    <w:p>
      <w:r>
        <w:t>La juridiction d'appel n'entre pas en matière si la demande de révision est manifestement irrecevable ou non motivée ou si une demande de révision invoquant les mêmes motifs a déjà été rejetée par le passé ( art. 412 al. 2 CPP ). Cet examen préalable et sommaire porte principalement sur les conditions formelles de recevabilité de la demande de révision. L'autorité saisie peut toutefois également refuser d'entrer en matière lorsque les motifs de révision invoqués sont manifestement non vraisemblables ou infondés ( ATF 144 IV 121 consid. 1.8 p. 126; 143 IV 122 consid. 3.5 p. 129) ou encore lorsque la demande de révision apparaît abusive (arrêts 6B_324/2019 du 24 avril 2019 consid. 3.1; 6B_882/2017 du 23 mars 2018 consid. 1.1). Une demande de révision doit, en particulier, être considérée comme telle lorsqu'elle repose sur des faits connus d'emblée du condamné, qu'il a tus sans raison valable. L'abus de droit ne doit toutefois être retenu qu'avec réserve. Il s'agit, dans chaque cas, d'examiner, au regard des circonstances de l'espèce, si la demande de révision tend à contourner les voies de droit ordinaires (cf. ATF 130 IV 72 consid. 2.2 p. 74 et consid. 2.4 p. 76; arrêts 6B_324/2019 précité consid. 3.2; 6B_791/2014 du 7 mai 2015 consid. 2.3 non publié aux ATF 141 IV 298 ).</w:t>
      </w:r>
    </w:p>
    <w:p>
      <w:r>
        <w:t>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 ATF 130 IV 72 consid. 2.3 p. 75 s.).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oeuvre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(cf. ATF 130 IV 72 consid. 2.3 p. 75 s.; arrêts 6B_1261/2018 du 19 mars 2019 consid. 2.2; 6B_1099/2018 du 29 janvier 2019 consid. 1.3; 6B_791/2014 précité consid. 2.3 non publié aux ATF 141 IV 298 ).</w:t>
      </w:r>
    </w:p>
    <w:p>
      <w:r>
        <w:rPr>
          <w:b/>
        </w:rPr>
        <w:t>E. 1.2</w:t>
      </w:r>
    </w:p>
    <w:p>
      <w:r>
        <w:t>La cour cantonale a exposé que le recourant avait pris acte de sa condamnation par ordonnance pénale et en avait accepté le principe. L'intéressé n'avait pas formé opposition contre ladite ordonnance, s'était acquitté de l'amende et des frais y relatifs. A l'appui de sa demande de révision, il avait présenté une quittance de stockage de garage établie le 17 décembre 2018, indiquant que la profondeur du profil des pneus concernés était de 1,6 mm. Outre que ce document n'attestait pas de la conformité des pneus au regard des exigences légales en la matière, le recourant n'avait pas expliqué pour quelle raison il n'avait pas fait valoir un tel moyen probatoire au cours de la procédure ordinaire d'opposition. Il lui aurait appartenu de contester l'ordonnance pénale litigieuse à l'époque de sa condamnation, notamment en demandant un examen de la profondeur du profil de ses pneus. En l'absence de tout fait nouveau, la demande de révision apparaissait comme un moyen de contourner la voie de droit ordinaire et devait être qualifiée d'abusive.</w:t>
      </w:r>
    </w:p>
    <w:p>
      <w:r>
        <w:rPr>
          <w:b/>
        </w:rPr>
        <w:t>E. 1.3</w:t>
      </w:r>
    </w:p>
    <w:p>
      <w:r>
        <w:t>Le recourant se livre à une présentation purement appellatoire des événements, en introduisant de nombreux éléments qui ne ressortent pas de l'état de fait de la cour cantonale - par lequel le Tribunal fédéral est lié (cf. art. 105 al. 1 LTF ) - sans prétendre ni démontrer que l'autorité précédente aurait arbitrairement établi celui-ci (cf. art. 97 al. 1 LTF ). Il en va ainsi lorsqu'il affirme avoir ignoré, jusqu'au 17 décembre 2018, que les pneus du véhicule contrôlés avaient été stockés par son garagiste, ou encore que ce dernier lui aurait alors affirmé avoir constaté que ceux-ci "étaient complètement dans les normes légales d'utilisation". Le recourant ne démontre pas qu'il n'aurait pu contester, dans le cadre de la procédure d'opposition contre l'ordonnance pénale litigieuse, les mesures effectuées par la police, y compris en interpellant le garagiste ayant pris les pneus concernés en dépôt. Il se borne à indiquer, à cet égard, avoir prêté foi aux constatations effectuées par la police sur ses pneus ainsi qu'avoir eu la "certitude" - dont on ne perçoit pas sur quoi elle aurait été fondée - que ceux-ci avaient été recyclés lorsque l'ordonnance pénale litigieuse avait été notifiée. Il apparaît donc que le recourant souhaite désormais revenir sur sa condamnation en contestant l'acuité des mesures effectuées par la police sur ses pneus, ce qu'il lui aurait été loisible de faire dans le cadre d'une procédure d'opposition ordinaire. La cour cantonale n'a en définitive pas violé le droit fédéral en considérant que la demande de révision était abusive ni, partant, en refusant d'entrer en matière.</w:t>
      </w:r>
    </w:p>
    <w:p>
      <w:r>
        <w:rPr>
          <w:b/>
        </w:rPr>
        <w:t>E. 2</w:t>
      </w:r>
    </w:p>
    <w:p>
      <w:r>
        <w:t>Au vu de ce qui précède,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