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6B_662/2011 vom 19. Juli 2012</w:t>
      </w:r>
    </w:p>
    <w:p>
      <w:r>
        <w:t>Bundesgericht, 2012-07-19, IT</w:t>
      </w:r>
    </w:p>
    <w:p>
      <w:r>
        <w:rPr>
          <w:b/>
        </w:rPr>
        <w:t xml:space="preserve">Quelle: </w:t>
      </w:r>
      <w:r>
        <w:t>https://mcp.opencaselaw.ch/entscheid/bger_6B_662_2011</w:t>
      </w:r>
    </w:p>
    <w:p>
      <w:r>
        <w:t>FR: TF 6B_662/2011 du 19 juillet 2012</w:t>
      </w:r>
    </w:p>
    <w:p>
      <w:r>
        <w:t>IT: TF 6B_662/2011 del 19 luglio 2012</w:t>
      </w:r>
    </w:p>
    <w:p>
      <w:pPr>
        <w:pStyle w:val="Heading2"/>
      </w:pPr>
      <w:r>
        <w:t>Erwägungen</w:t>
      </w:r>
    </w:p>
    <w:p>
      <w:r>
        <w:rPr>
          <w:b/>
        </w:rPr>
        <w:t>E. 3</w:t>
      </w:r>
    </w:p>
    <w:p>
      <w:r>
        <w:t>In relazione al reato rimproveratogli, l'insorgente fa valere che la dichiarazione dell'acquirente di conoscere la lingua italiana sarebbe vera, anche se non veridica. Nella misura in cui tenta così di contestare l'adempimento degli elementi oggettivi dell' art. 317 n. 1 cpv. 2 CP , la censura si appalesa inammissibile per carenza di motivazione. Difatti non si confronta minimamente con la sentenza impugnata, né spiega perché le ragioni addotte dalla CARP per qualificare come falsa l'attestazione di questa dichiarazione violerebbero il diritto (v. art. 42 cpv. 2 LTF ). La Corte cantonale ha ritenuto che l'attestazione in parola non potesse essere intesa che come la certificazione del fatto che il notaio, il cui ruolo non è quello di registrare acriticamente le dichiarazioni delle parti, ha verificato l'effettiva comprensione della lingua da parte del contraente, atteso che dalla stessa dipende la validità del rogito. Su questo punto ci si può quindi limitare a rinviare alle pertinenti considerazioni della sentenza impugnata ( art. 109 cpv. 3 LTF ).</w:t>
      </w:r>
    </w:p>
    <w:p>
      <w:r>
        <w:rPr>
          <w:b/>
        </w:rPr>
        <w:t>E. 4</w:t>
      </w:r>
    </w:p>
    <w:p>
      <w:r>
        <w:t>Il ricorrente contesta di aver agito con dolo eventuale, come ritenuto in sede cantonale. Sostiene di avere tutt'al più commesso il reato per negligenza.</w:t>
      </w:r>
    </w:p>
    <w:p>
      <w:r>
        <w:rPr>
          <w:b/>
        </w:rPr>
        <w:t>E. 4.1</w:t>
      </w:r>
    </w:p>
    <w:p>
      <w:r>
        <w:t>La falsità in atti formati da pubblici ufficiali o funzionari è un reato che può essere commesso sia per negligenza ( art. 317 n. 2 CP ) sia con intenzione ( art. 317 n. 1 CP ), il dolo eventuale essendo sufficiente (MARKUS BOOG, in Basler Kommentar, Strafrecht II, 2a ed. 2007, n. 10 ad art. 317 CP ). La giurisprudenza ha precisato che l'autore deve agire con l'intento di ingannare, che risulta dalla volontà di utilizzare il documento come se fosse vero ( DTF 121 IV 216 consid. 4).</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che sussiste laddove l'agente ritiene possibile che l'evento o il reato si produca e, cionondimeno, agisce, poiché prende in considerazione l'evento nel caso in cui si realizzi, lo accetta pur non desiderandolo ( DTF 137 IV 1 consid. 4.2.3).</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t>Il discrimine tra dolo eventuale e negligenza cosciente può rivelarsi delicato, poiché in entrambi i casi l'autore ritiene possibile che l'evento o il reato si produca. La differenza si opera quindi al livello della volontà e non della coscienza. Vi è negligenza, e non dolo, qualora l'autore, per un'imprevidenza colpevole, agisce presumendo che l'evento, che ritiene possibile, non si realizzi ( DTF 133 IV 1 consid. 4.1, 9 consid. 4.1).</w:t>
      </w:r>
    </w:p>
    <w:p>
      <w:r>
        <w:t>Ciò che l'autore sapeva, voleva o ha preso in considerazione pertiene all'accertamento dei fatti, che vincola il Tribunale federale, tranne se svolto in modo manifestamente inesatto o in violazione del diritto (v. art. 105 LTF ). È per contro una questione di diritto, valutabile con piena cognizione, quella di sapere se, sulla base dei fatti accertati, la conclusione circa l'esistenza del dolo eventuale sia giustificata ( DTF 138 V 74 consid. 8.4.1 e rinvii).</w:t>
      </w:r>
    </w:p>
    <w:p>
      <w:r>
        <w:rPr>
          <w:b/>
        </w:rPr>
        <w:t>E. 4.2</w:t>
      </w:r>
    </w:p>
    <w:p>
      <w:r>
        <w:t>Posto che non aveva mai visto in precedenza l'acquirente, di nazionalità inglese e non domiciliato in Ticino, la CARP ha ritenuto che al ricorrente fosse certamente noto il rischio molto alto che non conoscesse la lingua del rogito, tanto più che l'aveva sentito esprimersi unicamente in inglese e con lui non aveva scambiato nemmeno una parola in italiano, eccezion fatta per la domanda se conoscesse la lingua. Ritenuta anche la stentata risposta data, ha continuato la Corte, erano evidentemente ben maggiori le probabilità che non avesse una padronanza della lingua sufficiente per comprendere la natura e la portata dell'atto, piuttosto che il contrario. La CARP ha poi rilevato la crassa violazione dei doveri di diligenza previsti dalle pertinenti norme che disciplinano l'attività notarile, tra cui appunto quello fondamentale tendente all'accertamento della comprensione della lingua in cui viene rogato l'atto, che il ricorrente ha disatteso in modo grave, nonostante i dubbi sortigli. Gli sarebbe bastato avviare una semplicissima conversazione per fugarli e procedere alle verifiche del caso. Ha quindi concluso che il ricorrente ha agito con dolo eventuale, perché ha accettato, pur non desiderandola, l'ipotesi che l'evento dannoso si realizzasse.</w:t>
      </w:r>
    </w:p>
    <w:p>
      <w:r>
        <w:rPr>
          <w:b/>
        </w:rPr>
        <w:t>E. 4.3</w:t>
      </w:r>
    </w:p>
    <w:p>
      <w:r>
        <w:t>L'insorgente lamenta la violazione del principio accusatorio e della presunzione d'innocenza. La Corte cantonale avrebbe infatti tramutato in consapevolezza il dubbio che l'acquirente non capisse a sufficienza l'italiano. Peraltro, avrebbe arbitrariamente omesso di considerare che tra i due c'è stata una semplicissima conversazione: il notaio gli avrebbe chiesto non solo se conosceva la lingua, ma pure di mostrare il suo passaporto, che ha inserito nella clausola n. 17 come documento di legittimazione. Ciò posto, le probabilità che l'acquirente non capisse l'italiano non sarebbero affatto state altissime. Per di più, la nozione di probabilità costituirebbe solo un indizio che può essere smentito da altri di segno opposto. Al termine della lettura, l'acquirente avrebbe firmato l'atto senza nulla eccepire. Non avrebbero avuto nulla da ridire nemmeno i suoi consulenti, la cui presenza avrebbe diminuito il livello di vigilanza e di diligenza del notaio, oltretutto alle prime armi. Sicché, il comportamento di tutti i presenti costituirebbe una circostanza oggettiva che gli avrebbe fatto venir meno il dubbio ed escludere il rischio di commettere un reato. Infine il ricorrente nemmeno avrebbe avuto alcun disegno di ingannare, intendimento neppure menzionato nell'atto d'accusa.</w:t>
      </w:r>
    </w:p>
    <w:p>
      <w:r>
        <w:rPr>
          <w:b/>
        </w:rPr>
        <w:t>E. 4.4</w:t>
      </w:r>
    </w:p>
    <w:p>
      <w:r>
        <w:t>Premesso che il ricorrente non censura arbitrio nell'accertamento dei fatti, o comunque non lo motiva sufficientemente (v. art. 97 e 106 cpv. 2 LTF ; DTF 137 V 57 consid. 1.3), la CARP ha correttamente applicato il diritto. Date le circostanze del caso, note all'insorgente, le probabilità che l'acquirente non capisse l'italiano erano invero effettivamente molto alte. Il ricorrente non lo aveva mai incontrato in precedenza e sapeva che era un cittadino britannico domiciliato nella Svizzera romanda. Sebbene tra i due vi fosse stato un breve scambio di parole, quand'anche esteso alla richiesta del passaporto, considerata la stentata risposta ricevuta egli non può seriamente pretendere che il livello di probabilità che l'acquirente avesse delle conoscenze linguistiche sufficienti non era affatto altissimo. A ciò aggiungasi che il dubbio sull'effettiva comprensione della lingua gli è sorto, come sottolineato nel ricorso, solo dopo aver posto la fatidica domanda, allorquando è stato interrotto nella lettura del rogito dalla richiesta in inglese del compratore sulla reale necessità di leggere tutto l'atto. Ciò malgrado, disattendendo in modo crasso i doveri afferenti la sua attività, non ha proceduto alla benché minima verifica. Quanto al comportamento delle persone presenti, l'insorgente nulla può addurre in suo favore. Non si vede infatti come delle persone, che né conoscevano la lingua né le formalità per la rogazione di un istromento notarile possano aver diminuito la sua vigilanza o diligenza. Anche la pretesa violazione del principio in dubio pro reo si rivela inconferente, dal momento che, contrariamente a quanto preteso nel ricorso, la CARP non ha per nulla tramutato in certezza il dubbio dell'insorgente sulla reale comprensione della lingua da parte dell'acquirente. L'avesse fatto, il ricorrente sarebbe stato condannato per aver agito con dolo diretto e non eventuale.</w:t>
      </w:r>
    </w:p>
    <w:p>
      <w:r>
        <w:rPr>
          <w:b/>
        </w:rPr>
        <w:t>E. 4.5</w:t>
      </w:r>
    </w:p>
    <w:p>
      <w:r>
        <w:t>Gli accertamenti cantonali consentono pure di concludere che il ricorrente ha agito con l'intento d'inganno. La CARP, rinviando alla descrizione giuridica della nozione, a ragione l'ha riconosciuto per il semplice fatto che il rogito è stato celebrato e poi usato, quale documento giustificativo, per l'iscrizione del trapasso immobiliare a registro fondiario. Secondo la giurisprudenza, il reato si realizza se l'autore agisce nelle relazioni giuridiche con l'intento di ingannare. Questo intento risulta inevitabilmente dalla volontà dell'autore di far uso del documento come se fosse vero rispettivamente veritiero ( DTF 121 IV 216 consid. 4), ciò che nella fattispecie è incontestabilmente avvenuto.</w:t>
      </w:r>
    </w:p>
    <w:p>
      <w:r>
        <w:rPr>
          <w:b/>
        </w:rPr>
        <w:t>E. 5</w:t>
      </w:r>
    </w:p>
    <w:p>
      <w:r>
        <w:t>Ne segue che, in quanto ammissibile, il ricorso va respinto. Le spese giudiziarie sono poste a carico del ricorrente, in ragione della sua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