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662/2007 vom 30. November 2007</w:t>
      </w:r>
    </w:p>
    <w:p>
      <w:r>
        <w:t>Bundesgericht, 2007-11-30, FR</w:t>
      </w:r>
    </w:p>
    <w:p>
      <w:r>
        <w:rPr>
          <w:b/>
        </w:rPr>
        <w:t xml:space="preserve">Quelle: </w:t>
      </w:r>
      <w:r>
        <w:t>https://mcp.opencaselaw.ch/entscheid/bger_6B_662_2007</w:t>
      </w:r>
    </w:p>
    <w:p>
      <w:r>
        <w:t>FR: TF 6B 662/2007 du 30 novembre 2007</w:t>
      </w:r>
    </w:p>
    <w:p>
      <w:r>
        <w:t>IT: TF 6B 662/2007 del 30 novembre 2007</w:t>
      </w:r>
    </w:p>
    <w:p>
      <w:pPr>
        <w:pStyle w:val="Heading2"/>
      </w:pPr>
      <w:r>
        <w:t>Regeste</w:t>
      </w:r>
    </w:p>
    <w:p>
      <w:r>
        <w:t>Escroquerie, etc. | Infractions</w:t>
      </w:r>
    </w:p>
    <w:p>
      <w:pPr>
        <w:pStyle w:val="Heading2"/>
      </w:pPr>
      <w:r>
        <w:t>Erwägungen</w:t>
      </w:r>
    </w:p>
    <w:p>
      <w:r>
        <w:rPr>
          <w:b/>
        </w:rPr>
        <w:t>E. 1</w:t>
      </w:r>
    </w:p>
    <w:p>
      <w:r>
        <w:t>La décision attaquée a été rendue après l'entrée en vigueur, le 1er janvier 2007 (RO 2006, 1242), de la loi sur le Tribunal fédéral (LTF; RS 173.110). Le recours est régi par le nouveau droit ( art. 132 al. 1 LTF ).</w:t>
      </w:r>
    </w:p>
    <w:p>
      <w:r>
        <w:rPr>
          <w:b/>
        </w:rPr>
        <w:t>E. 2.1</w:t>
      </w:r>
    </w:p>
    <w:p>
      <w:r>
        <w:t>Le recours en matière pénale peut être interjeté pour violation du droit, tel qu'il est circonscrit par les art. 95 et 96 LTF . Le Tribunal fédéral l'applique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 Le Tribunal fédéral n'entre pas en matière sur les critiques de nature appellatoire ( ATF 133 III 393 consid. 6 p. 397). L'écriture du recourant comporte des conclusions et est formellement subdivisée en considérations de fait et de droit. Elle se présente sous la forme usuelle adoptée par les mandataires professionnels. A l'analyse, l'argumentaire du recourant, qui n'est pas assisté, mêle cependant indistinctement des griefs de fait et de droit, liés à l'application de dispositions légales, constitutionnelles et conventionnelles, qu'il ne cite pourtant pas toujours. Le recours est difficilement compréhensible et confine parfois à l'abscons. Il est, dans cette mesure, en très grande partie irrecevable. On se limitera dans la suite à l'examen des griefs dont la présentation est suffisamment intelligible pour qu'ils n'apparaissent pas d'emblée irrecevables.</w:t>
      </w:r>
    </w:p>
    <w:p>
      <w:r>
        <w:rPr>
          <w:b/>
        </w:rPr>
        <w:t>E. 2.2</w:t>
      </w:r>
    </w:p>
    <w:p>
      <w:r>
        <w:t>Le Tribunal fédéral, saisi d'un recours en matière pénale ne réexamine l'établissement des faits - sous réserve de l'allégation d'une violation du droit au sens de l' art. 95 LTF - que lorsqu'il est entaché d'inexactitude manifeste ( art. 97 al. 1 LTF ), soit d'arbitraire (Message du Conseil fédéral concernant la révision totale de l'organisation judiciaire fédérale, du 28 février 2001, FF 2001 4000 ss, spéc. p. 4135; arrêt 6B_89/2007 du 24 octobre 2007, consid. 1.4.1 à paraître aux ATF 133 X xxx).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ou en violation d'un droit certain. Il n'y a pas arbitraire du seul fait qu'une autre solution paraît également concevable voire même préférable ( ATF 129 I 8 consid. 2.1; 128 I 273 consid. 2.1).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129 18 consid. 2.1 ; 127 138 consid. 2a p. 41).</w:t>
      </w:r>
    </w:p>
    <w:p>
      <w:r>
        <w:rPr>
          <w:b/>
        </w:rPr>
        <w:t>E. 3</w:t>
      </w:r>
    </w:p>
    <w:p>
      <w:r>
        <w:t>Sous l'intitulé « L'absence de motivation juridique de ma condamnation », le recourant se réfère à différentes composantes de son droit d'être entendu (droit de s'expliquer, de fournir des preuves, d'accéder au dossier, notamment). Faute d'indiquer précisément en quoi l'arrêt cantonal violerait ces différentes garanties, le recours est irrecevable sur ce point ( art. 106 al. 2 LTF ). Il en va de même lorsqu'il reproche de manière toute générale à la cour cantonale une motivation « trop vague qu'il m'est pratiquement impossible de savoir à quoi elle fait allusion ».</w:t>
      </w:r>
    </w:p>
    <w:p>
      <w:r>
        <w:rPr>
          <w:b/>
        </w:rPr>
        <w:t>E. 4</w:t>
      </w:r>
    </w:p>
    <w:p>
      <w:r>
        <w:t>Sous l'intitulé « La décision est arbitraire dans son contenu », le recourant explique qu'à ses yeux la dernière instance cantonale aurait tranché sans motifs ni de fait ni de droit soutenables et serait tombée dans l'arbitraire. Il juge l'arrêt cantonal incompréhensible, contraire au droit pénal et au droit constitutionnel, en soulignant plus précisément, en relation avec sa condamnation pour les faits relatés ci-dessus au consid. B.a, que selon lui les trois premières cartes de crédit appartenaient exclusivement à B.________, la quatrième étant au nom de « A.________ [sic] », que rien ne permettrait de conclure à l'existence d'une astuce et au dessein d'enrichissement illégitime. L'intime conviction de la chambre pénale qu'il ne pouvait ignorer que ses complices n'étaient pas détenteurs légitimes des cartes de crédit ne serait pas justifiée.</w:t>
      </w:r>
    </w:p>
    <w:p>
      <w:r>
        <w:rPr>
          <w:b/>
        </w:rPr>
        <w:t>E. 4.1</w:t>
      </w:r>
    </w:p>
    <w:p>
      <w:r>
        <w:t>Ces vagues critiques ne répondent pas, dans leur ensemble, aux exigences de motivation rappelées ci-dessus.</w:t>
      </w:r>
    </w:p>
    <w:p>
      <w:r>
        <w:rPr>
          <w:b/>
        </w:rPr>
        <w:t>E. 4.2</w:t>
      </w:r>
    </w:p>
    <w:p>
      <w:r>
        <w:t>En tant que cette argumentation a trait à la titularité de la carte de crédit établie au nom de « A.________ » en relation avec le chef d'accusation d'escroquerie, il n'y a pas lieu de s'y arrêter, le recourant ayant été acquitté sur ce point, visé par le ch. I.4 de la Feuille d'envoi (supra consid. B).</w:t>
      </w:r>
    </w:p>
    <w:p>
      <w:r>
        <w:rPr>
          <w:b/>
        </w:rPr>
        <w:t>E. 4.3</w:t>
      </w:r>
    </w:p>
    <w:p>
      <w:r>
        <w:t>En ce qui concerne les trois autres cartes de crédit, le recourant soutient qu'elles « appartenaient exclusivement » à B.________.</w:t>
      </w:r>
    </w:p>
    <w:p>
      <w:r>
        <w:rPr>
          <w:b/>
        </w:rPr>
        <w:t>E. 4.3.1</w:t>
      </w:r>
    </w:p>
    <w:p>
      <w:r>
        <w:t>Cette affirmation ne trouve cependant aucun appui dans le dossier de la cause, dont il ressort au contraire que les titulaires de ces cartes ont porté plainte pour vol, démarches qui ont précisément conduit à l'ouverture de l'enquête contre le recourant (arrêt cantonal, consid. C.a p. 3/15). Il ressort en outre de l'arrêt cantonal que les signatures apposées sur les quittances à l'achat de la marchandise (notamment la signature du dénommé C.________), étaient des imitations de la signature du propriétaire réel de la carte (arrêt cantonal, consid. 2.1.1 p. 8/15), ce qui exclut que B.________ ait pu en être propriétaire. Le recourant ne démontre pas pour quels motifs le Tribunal fédéral devrait s'écarter des constatations de fait de l'arrêt cantonal ( art. 105 al. 1 et 2 LTF ). Le grief est infondé.</w:t>
      </w:r>
    </w:p>
    <w:p>
      <w:r>
        <w:rPr>
          <w:b/>
        </w:rPr>
        <w:t>E. 4.3.2</w:t>
      </w:r>
    </w:p>
    <w:p>
      <w:r>
        <w:t>On peut également comprendre cette argumentation en ce sens que le recourant fait grief à la cour cantonale d'avoir acquis l'intime conviction qu'il ne pouvait ignorer que lui-même ou ses complices n'étaient pas les détenteurs légitimes des cartes de crédit présentées à titre de paiement. La cour cantonale a fondé son intime conviction sur le fait que le recourant et B.________, voire un troisième complice, avaient répété à de multiples reprises l'acquisition de cartouches de cigarettes et de cartes téléphoniques au moyen des cartes de crédit en question, le recourant connaissant la destination de cette marchandise (arrêt cantonal, consid. 2.1.2 p. 7/15). Peu étayée, cette déduction n'en échappe pas moins au grief d'arbitraire, respectivement d'inexactitude manifeste au sens de l' art. 105 al. 2 LTF . Il ressort en effet du dossier cantonal que selon l'inventaire de la police judiciaire, non moins de 124 cartes téléphoniques ont été retrouvées au domicile du recourant, qui a par ailleurs admis que la marchandise achetée à l'aide des cartes de crédit était destinée à être revendue à moitié prix (procès-verbal d'audition de la police judiciaire, du 8 mars 2003). Il s'ensuit que, sauf à retenir l'hypothèse absurde que le but de l'opération aurait été de revendre à perte la marchandise achetée en quantités tout à fait inhabituelles, le recourant ne pouvait ignorer que les cartes de crédit en question n'appartenaient ni à ses comparses ni à lui-même. Le grief est infondé.</w:t>
      </w:r>
    </w:p>
    <w:p>
      <w:r>
        <w:rPr>
          <w:b/>
        </w:rPr>
        <w:t>E. 5</w:t>
      </w:r>
    </w:p>
    <w:p>
      <w:r>
        <w:t>Sous l'intitulé « l'arrêt de la Cour de justice est arbitraire dans son résultat », le recourant tente de démontrer que l'acquisition d'une carte VISA auprès de Corner Banque au nom de « A.________ » ne tomberait pas sous le coup de l' art. 146 CP , et que son utilisation ne tomberait pas sous le coup de l' art. 148 CP . Le recourant n'ayant pas été condamné sur ces deux points (arrêt cantonal, consid. 2.2.4 p. 10 et 11/15), ses développements sont sans pertinence. Pour le surplus, le recourant ne tente pas de démontrer que les autorités cantonales auraient mal appliqué les art. 252 et 255 CP . Il soutient tout au plus que le dénommé « A.________ » existerait bel et bien et que ce serait ce dernier qui aurait effectué les démarches en vue de l'obtention de la carte de crédit. Il se borne cependant à opposer à l'état de fait de l'arrêt cantonal sa propre appréciation des preuves. Le grief, qui est appellatoire, est irrecevable.</w:t>
      </w:r>
    </w:p>
    <w:p>
      <w:r>
        <w:rPr>
          <w:b/>
        </w:rPr>
        <w:t>E. 6</w:t>
      </w:r>
    </w:p>
    <w:p>
      <w:r>
        <w:t>On peut encore comprendre que le recourant reproche à la cour cantonale d'avoir retenu l'existence d'une astuce et d'un dessein d'enrichissement illégitime en relation avec l'utilisation des trois cartes de crédit visées au consid. B.a ci-dessus. Quant à l'astuce, le recourant ne conteste plus l'imitation des signatures des titulaires des cartes. Or, un tel procédé permet, comme l'a retenu à juste titre la cour cantonale de retenir l'existence d'une astuce au sens de l' art. 146 CP (arrêt 6S.90/2005 consid. 2.3 et les références à Daniel Stoll, Les cartes et moyens de paiement analogues, thèse Lausanne, 2001, p. 285 s.; Andreas Eckert, Die Strafrechtliche Erfassung des Check- und Kreditkartenmissbrauchs, thèse Zurich, 1991, p. 110; ainsi que Martin Buser, Straftaten im Zusammenhang mit Kreditkarten, thèse Berne, 1986, p. 92). Pour le surplus, le fait que la marchandise achetée à crédit, au nom et au compte de tiers non consentants, était destinée à être revendue permet de retenir un dessein d'enrichissement.</w:t>
      </w:r>
    </w:p>
    <w:p>
      <w:r>
        <w:rPr>
          <w:b/>
        </w:rPr>
        <w:t>E. 7</w:t>
      </w:r>
    </w:p>
    <w:p>
      <w:r>
        <w:t>On peut enfin retenir de l'écriture du recourant qu'il reproche à la cour cantonale d'avoir fait état de sa mauvaise collaboration à l'enquête. Il paraît en déduire une violation de son droit d'être entendu et du droit à un procès équitable (Mémoire, p. 7). Le recourant n'indique cependant pas en quoi aurait consisté cette violation. Il ne ressort pas non plus de l'arrêt entrepris que la cour cantonale aurait retenu certains faits constitutifs des infractions à charge du recourant au seul motif de son refus de collaborer. La cour cantonale n'a, en définitive, mentionné cet élément que dans ses considérants relatifs à la fixation de la peine. Elle en a déduit essentiellement, à côté d'autres éléments (notamment ses précédentes condamnations pour des infractions de même nature, dont une à 18 mois de réclusion en 2001), que le comportement du recourant dénotait une absence d'amendement qui ne permettait plus l'octroi du sursis. On ne saurait lui en faire grief ( art. 42 al. 2 CP ).</w:t>
      </w:r>
    </w:p>
    <w:p>
      <w:r>
        <w:rPr>
          <w:b/>
        </w:rPr>
        <w:t>E. 8</w:t>
      </w:r>
    </w:p>
    <w:p>
      <w:r>
        <w:t>Le recours est rejeté dans la très faible mesure où il est recevable. Il n'y a pas lieu d'allouer des dépens au recourant qui succombe ( art. 68 al. 2 LTF ). Il supporte en revanche les frais de la cause, qui seront fixés en tenant compte de sa situation financière (art. 65 al. 2 et 66 al. 1 LTF). Fondé sur une argumentation largement appellatoire et en grande partie incompréhensible, le recours était voué à l'échec, si bien que la requête d'assistance judiciaire doit être rejetée ( art. 64 al. 1 LTF ).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