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661/2022 vom 8. November 2022</w:t>
      </w:r>
    </w:p>
    <w:p>
      <w:r>
        <w:t>Bundesgericht, 2022-11-08, DE</w:t>
      </w:r>
    </w:p>
    <w:p>
      <w:r>
        <w:rPr>
          <w:b/>
        </w:rPr>
        <w:t xml:space="preserve">Quelle: </w:t>
      </w:r>
      <w:r>
        <w:t>https://mcp.opencaselaw.ch/entscheid/bger_6B_661_2022</w:t>
      </w:r>
    </w:p>
    <w:p>
      <w:r>
        <w:t>FR: TF 6B 661/2022 du 8 novembre 2022</w:t>
      </w:r>
    </w:p>
    <w:p>
      <w:r>
        <w:t>IT: TF 6B 661/2022 del 8 novembre 2022</w:t>
      </w:r>
    </w:p>
    <w:p>
      <w:pPr>
        <w:pStyle w:val="Heading2"/>
      </w:pPr>
      <w:r>
        <w:t>Regeste</w:t>
      </w:r>
    </w:p>
    <w:p>
      <w:r>
        <w:t>Einstellung (fahrlässige Körperverletzung, Aussetzung); Nichteintreten | Strafprozess</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gemäss Art. 41 ff. OR ( BGE 146 IV 76 E. 3.1; 141 IV 1 E. 1.1). Hingegen können öffentlich-rechtliche Ansprüche, auch solche aus Staatshaftungsrecht, nicht adhäsionsweise im Strafprozess geltend gemacht werden und zählen demnach nicht zu den Zivilansprüchen im Sinne von Art. 81 Abs. 1 lit. b Ziff. 5 BGG ( BGE 146 IV 76 E. 3.1 ; 131 I 455 E. 1.2.4; 128 IV 188 E. 2.2 f.; Urteile 6B_1055/2020 und 6B_823/2021 vom 13. Juni 2022 E. 3.2.1; 6B_345/2021 vom 27. April 2022 E. 2.2.1; 6B_1391/2020 vom 1. Dezember 2021 E. 2.1.2; je mit Hinweisen).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Es prüft die Eintretensvoraussetzungen im Verfahren der Beschwerde in Strafsachen ohne eingehende Auseinandersetzung mit der Sache. Dementsprechend ist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um welche Zivilforderungen es geht ( BGE 141 IV 1 E. 1.1; Urteile 6B_1055/2020 und 6B_823/2021 vom 13. Juni 2022 E. 3.2.1; 6B_1244/2021 vom 12. April 2022 E. 1.1.1; 6B_700/2020 vom 17. August 2021 E. 2.1.2; je mit Hinweisen).</w:t>
      </w:r>
    </w:p>
    <w:p>
      <w:r>
        <w:rPr>
          <w:b/>
        </w:rPr>
        <w:t>E. 1.2</w:t>
      </w:r>
    </w:p>
    <w:p>
      <w:r>
        <w:t>Unbekümmert um die fehlende Legitimation in der Sache selbst kann die Privatklägerschaft die Verletzung jener Parteirechte geltend machen, die ihr nach dem Verfahrensrecht, der Bundesverfassung oder der EMRK zustehen und deren Missachtung eine formelle Rechtsverweigerung bedeutet. Zulässig sind nur Rügen formeller Natur, die von der Prüfung der Sache getrennt werden können. Nicht zu hören sind Rügen, die im Ergebnis auf eine materielle Überprüfung des angefochtenen Entscheids abzielen (sog. "Star-Praxis"; BGE 146 IV 76 E. 2; 141 IV 1 E. 1.1; je mit Hinweisen).</w:t>
      </w:r>
    </w:p>
    <w:p>
      <w:r>
        <w:rPr>
          <w:b/>
        </w:rPr>
        <w:t>E. 2</w:t>
      </w:r>
    </w:p>
    <w:p>
      <w:r>
        <w:t>Wie aus den Ausführungen des Beschwerdeführers selbst hervorgeht, beschlägt vorliegende Angelegenheit, wenn überhaupt, öffentlich-rechtliche Ansprüche aus Staatshaftungsrecht. Damit ist er in der Sache a priori nicht beschwerdelegitimiert. Soweit er darüber hinaus eine Verletzung seiner Verfahrensrechte geltend macht, ist er nicht zu hören, zumal er keine formellen Rügen erhebt, zu deren Vorbringen er unbesehen der fehlenden Legitimation in der Sache befugt wäre: Bei der vom Beschwerdeführer beanstandeten Verletzung des Beschleunigungsgebots und des rechtlichen Gehörs geht es nicht um eine formelle Rechtsverweigerung von ihm zustehenden Verfahrensrechten. Soweit der Beschwerdeführer vorbringt, die Staatsanwaltschaft habe das Beschleunigungsgebot verletzt, indem sie das Strafverfahren unzulässigerweise sistiert habe, macht er im bundesgerichtlichen Verfahren (zu Recht) nicht geltend, dass die Vorinstanz sich mit diesem Argument nicht auseinandergesetzt habe. Dasselbe gilt im Ergebnis hinsichtlich der angeblichen Gehörsverletzung. Wenn der Beschwerdeführer zudem davon ausgeht, dass sowohl die Staatsanwaltschaft als auch die Vorinstanz fälschlicherweise von einer ausschlaggebenden Relevanz des sozialversicherungsrechtlichen Verfahrens und dem in diesem Zusammenhang erstellten Gutachten für die strafrechtliche Beurteilung ausgingen, leitet er daraus lediglich eine unvollständige Sachverhaltsfeststellung ab. Damit zielt er auf eine materielle Überprüfung der Verfahrenseinstellung durch die kantonalen Strafbehörden ab, wozu ihm jedoch die Beschwerdelegitimation fehlt. Nichts anderes gilt in Bezug auf seine Kritik am von der Vorinstanz vertretenen und einlässlich begründeten Standpunkt, der fragliche Tatbestand der fahrlässigen Körperverletzung ( Art. 125 StGB ) sei bereits verjährt, weshalb das Verfahren diesbezüglich einzustellen gewesen sei. Was schliesslich den fraglichen Tatbestand der Aussetzung ( Art. 127 StGB ) betrifft, beschränkt sich der Beschwerdeführer explizit - erneut - darauf, eine unvollständige Sachverhaltsfeststellung geltend zu machen. Die insoweit erhobenen, ohnehin nicht substanziierten Rügen der Befangenheit und Voreingenommenheit stossen damit ins Leere.</w:t>
      </w:r>
    </w:p>
    <w:p>
      <w:r>
        <w:rPr>
          <w:b/>
        </w:rPr>
        <w:t>E. 3</w:t>
      </w:r>
    </w:p>
    <w:p>
      <w:r>
        <w:t>Die Beschwerde erweist sich als unzulässig, womit auf sie nicht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