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6B_661/2019 vom 12. September 2019</w:t>
      </w:r>
    </w:p>
    <w:p>
      <w:r>
        <w:t>Bundesgericht, 2019-09-12, FR</w:t>
      </w:r>
    </w:p>
    <w:p>
      <w:r>
        <w:rPr>
          <w:b/>
        </w:rPr>
        <w:t xml:space="preserve">Quelle: </w:t>
      </w:r>
      <w:r>
        <w:t>https://mcp.opencaselaw.ch/entscheid/bger_6B_661_2019</w:t>
      </w:r>
    </w:p>
    <w:p>
      <w:r>
        <w:t>FR: TF 6B_661/2019 du 12 septembre 2019</w:t>
      </w:r>
    </w:p>
    <w:p>
      <w:r>
        <w:t>IT: TF 6B_661/2019 del 12 settembre 2019</w:t>
      </w:r>
    </w:p>
    <w:p>
      <w:pPr>
        <w:pStyle w:val="Heading2"/>
      </w:pPr>
      <w:r>
        <w:t>Erwägungen</w:t>
      </w:r>
    </w:p>
    <w:p>
      <w:r>
        <w:rPr>
          <w:b/>
        </w:rPr>
        <w:t>E. 1</w:t>
      </w:r>
    </w:p>
    <w:p>
      <w:r>
        <w:t>Le recourant reproche à la cour cantonale d'avoir violé la présomption d'innocence et d'avoir établi certains faits de manière arbitraire.</w:t>
      </w:r>
    </w:p>
    <w:p>
      <w:r>
        <w:rPr>
          <w:b/>
        </w:rPr>
        <w:t>E. 1.1</w:t>
      </w:r>
    </w:p>
    <w:p>
      <w:r>
        <w:t>Le Tribunal fédéral n'est pas une autorité d'appel, auprès de laquelle les faits pourraient être rediscutés librement. Il est lié par les faits établis par l'autorité précédente ( art. 105 al. 1 LTF ), à moins qu'ils n'aient été constatés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144 II 281 consid. 3.6.2 p. 287 et les références citées). Le Tribunal fédéral n'entre en matière sur les moyens fondés sur la violation de droits fondamentaux que s'ils ont été invoqués et motivés de manière précise ( art. 106 al. 1 LTF ; ATF 143 IV 500 consid. 1.1 p. 503); il n'entre pas en matière sur les critiques de nature appellatoire ( ATF 145 IV 154 consid. 1.1 p. 156; 142 III 364 consid. 2.4 p. 368).</w:t>
      </w:r>
    </w:p>
    <w:p>
      <w:r>
        <w:t>La présomption d'innocence, garantie par les art. 10 CPP , 32 al. 1 Cst., 14 par. 2 Pacte ONU II et 6 par. 2 CEDH, ainsi que son corollaire, le principe " in dubio pro reo ", concernent tant le fardeau de la preuve que l'appréciation des preuves au sens large ( ATF 145 IV 154 consid. 1.1 p. 156 et les arrêts cités).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156 et les arrêts cités).</w:t>
      </w:r>
    </w:p>
    <w:p>
      <w:r>
        <w:rPr>
          <w:b/>
        </w:rPr>
        <w:t>E. 1.2</w:t>
      </w:r>
    </w:p>
    <w:p>
      <w:r>
        <w:t>Le recourant conteste son implication dans le trafic effectué par le dénommé " A.________ ".</w:t>
      </w:r>
    </w:p>
    <w:p>
      <w:r>
        <w:t>La cour cantonale a relevé que lors de la perquisition effectuée au domicile du recourant a été trouvé un papier comportant des inscriptions manuscrites et des numéros de téléphone qui ont permis de remonter jusqu'à des toxicomanes. Par ailleurs, des contrôles téléphoniques actifs et rétroactifs ont permis d'identifier d'autres consommateurs avec lesquels il a été en contact. Vingt-neuf de ces toxicomanes ont été entendus; certains d'entre eux ont mis en cause le recourant pour leur avoir personnellement et directement fourni de la drogue dès 2013 et pour avoir joué un rôle actif au côté du dénommé " A.________ ". Par ailleurs, certains consommateurs figurant sur cette liste ont déclaré avoir été fournis par ce dernier et avoir eu des contacts téléphoniques avec le recourant. D'autres ont affirmé avoir eu affaire aux deux à la même période, l'un répondant au téléphone de l'autre ou le remplaçant en son absence.</w:t>
      </w:r>
    </w:p>
    <w:p>
      <w:r>
        <w:t>Dans ces circonstances, peu importe qu'une grande majorité des consommateurs impliqués n'ait pas reconnu le recourant sur les planches photographiques puisque ceux-ci ont principalement eu des contacts téléphoniques avec lui. C'est par ailleurs en vain que le recourant fait valoir que le simple fait qu'une liste téléphonique ait été trouvée chez lui ne suffit pas pour établir qu'il a été impliqué dans le trafic en tant que coauteur. En effet, comme cela ressort du paragraphe précédent, la cour cantonale ne s'est pas fondée sur ce seul élément, mais aussi sur les auditions des consommateurs figurant sur cette liste, auditions dont le recourant ne conteste pas la validité au moyen d'une argumentation satisfaisant aux exigences de l' art. 106 al. 2 LTF . Il n'y a par ailleurs aucune raison de douter des déclarations de ces témoins qui n'ont aucun intérêt à incriminer le recourant et leur seule contestation par le recourant ne suffit pas à les remettre en question. Mal fondé, ce grief doit être rejeté.</w:t>
      </w:r>
    </w:p>
    <w:p>
      <w:r>
        <w:rPr>
          <w:b/>
        </w:rPr>
        <w:t>E. 1.3</w:t>
      </w:r>
    </w:p>
    <w:p>
      <w:r>
        <w:t>Le recourant conteste avoir approvisionné des dealers de rue en leur vendant des fingers de 10 g de cocaïne et soutient que les quantités retenues à son encontre ne reposent que sur des extrapolations sans fondement objectif.</w:t>
      </w:r>
    </w:p>
    <w:p>
      <w:r>
        <w:t>Les constatations de la cour cantonale reposent sur des contrôles téléphoniques effectués sur deux raccordements. Les conversations du recourant montrent que celui-ci approvisionnait ses interlocuteurs en " cartes ". La cour cantonale a admis que ces " cartes " étaient en réalité des fingers de 10 g nets de cocaïne. Par ailleurs, 4 fingers de cocaïne d'une masse nette de 19,46 g, 15 fingers de cocaïne d'une masse nette de 147,41 g, ainsi que 20 fingers de cocaïne d'une masse nette de 198,12 g, ont été trouvés dans le logement du recourant, drogue dont ce dernier a admis avoir été le possesseur. Pour le surplus, il ressort du jugement attaqué que le recourant a admis que le mot " carte " utilisé dans ses conversations téléphoniques signifiait bien finger et qu'il a soutenu que les quantités retenues sur la base des contrôles téléphoniques étaient déjà comprises dans celles retrouvées à son domicile et/ou vendues aux toxicomanes. Le recourant n'a en revanche contesté ni le poids contenu dans les fingers livrés à des revendeurs ni la pureté de la drogue en question. Dans ces circonstances, la cour cantonale pouvait sans arbitraire considérer ces éléments comme établis.</w:t>
      </w:r>
    </w:p>
    <w:p>
      <w:r>
        <w:t>Dans ce contexte, le recourant conteste en outre le montant du profit réalisé par son activité délictueuse. Sur ce point son argumentation, de nature appellatoire, ne satisfait pas aux exigences de motivation de l' art. 106 al. 2 LTF et n'est pas conséquent pas recevable. Mal fondé, le grief doit être rejeté dans la mesure où il est recevable.</w:t>
      </w:r>
    </w:p>
    <w:p>
      <w:r>
        <w:rPr>
          <w:b/>
        </w:rPr>
        <w:t>E. 2</w:t>
      </w:r>
    </w:p>
    <w:p>
      <w:r>
        <w:t>Le recourant soutient que la peine qui lui a été infligée viole l' art. 47 CP .</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références citées; cf. récemment: arrêt 6B_675/2019 du 17 juillet 2019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6B_675/2019 précité consid. 1.2).</w:t>
      </w:r>
    </w:p>
    <w:p>
      <w:r>
        <w:rPr>
          <w:b/>
        </w:rPr>
        <w:t>E. 2.2</w:t>
      </w:r>
    </w:p>
    <w:p>
      <w:r>
        <w:t>Le recourant soutient que la cour cantonale n'a pas pris en considération ses aveux et sa bonne collaboration aux débats d'appel.</w:t>
      </w:r>
    </w:p>
    <w:p>
      <w:r>
        <w:t>La cour cantonale a expressément relevé que le recourant n'avait pas collaboré à l'enquête. Avoir admis certains faits en instance d'appel, c'est-à-dire à un stade très avancé de la procédure et en présence d'éléments de preuve difficilement contestables, ne saurait être considéré comme un élément particulièrement favorable, d'autant que le recourant s'est limité à reconnaître une partie des actes qui lui sont imputés, en contestant d'autres jusque devant l'autorité de céans.</w:t>
      </w:r>
    </w:p>
    <w:p>
      <w:r>
        <w:rPr>
          <w:b/>
        </w:rPr>
        <w:t>E. 2.3</w:t>
      </w:r>
    </w:p>
    <w:p>
      <w:r>
        <w:t>Le recourant reproche à la cour cantonale de n'avoir absolument pas tenu compte des effets de l'exécution de la peine sur son avenir.</w:t>
      </w:r>
    </w:p>
    <w:p>
      <w:r>
        <w:t>Dans la mesure où il se prévaut de son statut de délinquant primaire et de son bon comportement en détention, il invoque des circonstances qui ont un effet neutre sur la peine et n'ont donc pas à être prises en considération dans sens atténuant ( ATF 141 IV 61 consid. 6.3.2 p. 70; arrêt 6B_560/2018 du 13 août 2018 consid. 3.6 et les arrêts cités).</w:t>
      </w:r>
    </w:p>
    <w:p>
      <w:r>
        <w:t>Pour le surplus, le recourant, père de trois enfants, invoque sa situation familiale, sur laquelle l'exécution d'une peine privative de liberté de 6 ans aurait un effet dramatique.</w:t>
      </w:r>
    </w:p>
    <w:p>
      <w:r>
        <w:t>L'exécution d'une peine privative de liberté d'une certaine durée a inévitablement des répercussions sur la vie professionnelle et familiale du condamné. Ces conséquences ne peuvent conduire à une réduction de la peine qu'en présence de circonstances extraordinaires (arrêt 6B_375/2019 du 12 juin 2019 consid. 3.2 et les arrêts cités). Le fait que le recourant soit père de trois enfants et s'en occupe bien ne saurait être considéré comme suffisamment extraordinaire pour justifier une réduction de peine.</w:t>
      </w:r>
    </w:p>
    <w:p>
      <w:r>
        <w:t>Par ailleurs, la cour cantonale a qualifié à juste titre de lourde la culpabilité du recourant qui s'est livré, par appât du gain, à un trafic intense et durable qui n'a pris fin qu'à la suite de son interpellation. Sa reconnaissance, au demeurant fort tardive, d'une partie seulement des faits qui lui sont imputés montre une faible prise de conscience de la gravité de ses actes. En outre, la cour cantonale n'a pas méconnu sa situation familiale puisqu'elle a relevé qu'il était un bon mari et un excellent père. Dans ces circonstances, il n'apparaît pas que la cour cantonale aurait méconnu des éléments déterminants, pas plus qu'elle en aurait négligé certains ou aurait accordé une importance excessive à d'autres. La peine privative de liberté de 6 ans infligée au recourant ne procède en définitive pas d'un abus du pouvoir d'appréciation dont disposait la cour cantonale.</w:t>
      </w:r>
    </w:p>
    <w:p>
      <w:r>
        <w:rPr>
          <w:b/>
        </w:rPr>
        <w:t>E. 3</w:t>
      </w:r>
    </w:p>
    <w:p>
      <w:r>
        <w:t>Le recourant soutient que son expulsion du territoire suisse viole le principe de proportionnalité.</w:t>
      </w:r>
    </w:p>
    <w:p>
      <w:r>
        <w:rPr>
          <w:b/>
        </w:rPr>
        <w:t>E. 3.1</w:t>
      </w:r>
    </w:p>
    <w:p>
      <w:r>
        <w:t>Aux termes de l' art. 66a al. 1 let . o CP, le juge expulse de Suisse l'étranger qui est notamment condamné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été reconnu coupable d'infraction grave à la LStup, qui tombe sous le coup de l' art. 66a al. 1 let . o CP. Il remplit donc a priori les conditions d'une expulsion, sous la réserve d'une application de l' art. 66a al. 2 CP , voire également des normes de droit international.</w:t>
      </w:r>
    </w:p>
    <w:p>
      <w:r>
        <w:rPr>
          <w:b/>
        </w:rPr>
        <w:t>E. 3.2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conformément à ce principe, renoncer à l'expulsion lorsque les conditions de l' art. 66a al. 2 CP sont réunies ( ATF 144 IV 332 consid. 3.3 p. 339 s.).</w:t>
      </w:r>
    </w:p>
    <w:p>
      <w:r>
        <w:rPr>
          <w:b/>
        </w:rPr>
        <w:t>E. 3.3.1</w:t>
      </w:r>
    </w:p>
    <w:p>
      <w:r>
        <w:t>La loi ne définit pas ce qu'il faut entendre par une " situation personnelle grave "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6B_639/2019 du 20 août 2019 consid. 1.3.1).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6B_639/2019 précité consid. 1.3.1; 6B_143/2019 du 6 mars 2019 consid. 3.3.1 et les arrêts cités).</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 ATF 144 IV 332 consid. 3.3.3 p. 341 et les arrêts cités).</w:t>
      </w:r>
    </w:p>
    <w:p>
      <w:r>
        <w:rPr>
          <w:b/>
        </w:rPr>
        <w:t>E. 3.3.2</w:t>
      </w:r>
    </w:p>
    <w:p>
      <w:r>
        <w:t>Selon la jurisprudence, pour se prévaloir d'un droit au respect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6B_639/2019 précité consid. 1.3.2).</w:t>
      </w:r>
    </w:p>
    <w:p>
      <w:r>
        <w:rPr>
          <w:b/>
        </w:rPr>
        <w:t>E. 3.4</w:t>
      </w:r>
    </w:p>
    <w:p>
      <w:r>
        <w:t>Le recourant invoque la présence en Suisse de ses trois enfants, tous scolarisés dans notre pays, ainsi que de son épouse, avec lesquels il a des liens très étroits et qui constituent la totalité de ses attaches familiales. Il se prévaut par ailleurs de sa bonne intégration en Suisse ainsi que de son statut de délinquant primaire et soutient que son intérêt privé à demeurer en Suisse est supérieur à l'intérêt public à son expulsion.</w:t>
      </w:r>
    </w:p>
    <w:p>
      <w:r>
        <w:rPr>
          <w:b/>
        </w:rPr>
        <w:t>E. 3.5</w:t>
      </w:r>
    </w:p>
    <w:p>
      <w:r>
        <w:t>La cour cantonale n'a pas méconnu la situation personnelle du recourant puisqu'elle a relevé qu'il avait d'importantes attaches en Suisse, son épouse et ses trois enfants résidant dans ce pays. Elle a en revanche admis qu'à supposer qu'il puisse se prévaloir d'un droit découlant de l' art. 8 par. 1 CEDH l'intérêt public à son éloignement l'emportait sur son intérêt privé à rester en Suisse.</w:t>
      </w:r>
    </w:p>
    <w:p>
      <w:r>
        <w:rPr>
          <w:b/>
        </w:rPr>
        <w:t>E. 3.6</w:t>
      </w:r>
    </w:p>
    <w:p>
      <w:r>
        <w:t>Les intérêts présidant à l'expulsion du recourant sont importants. Celui-ci s'est livré pendant la majeure partie de son séjour en Suisse à un trafic ayant porté sur largement plus d'un kilo de cocaïne pure. Il y a lieu de relever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 6009/10] § 55;</w:t>
      </w:r>
    </w:p>
    <w:p>
      <w:r>
        <w:t>Dalia c. France du 19 février 1998, Recueil CourEDH 1998-I 76 § 54; cf. aussi arrêt 6B_143/2019 précité consid. 3.4.2). Par ailleurs, la peine privative de liberté à laquelle a été condamné le recourant dépasse largement une année, ce qui pourrait permettre une révocation de son autorisation de séjour sur la base de l' art. 62 al. 1 let. b LEI (cf. ATF 139 I 145 consid. 2.1 p. 147, selon lequel constitue une " peine privative de liberté de longue durée " au sens de l'art. 62 al. 1 let. b LEtr [depuis le 1er janvier 2019: LEI] toute peine dépassant un an d'emprisonnement).</w:t>
      </w:r>
    </w:p>
    <w:p>
      <w:r>
        <w:t>S'agissant de l'intérêt du recourant à pouvoir demeurer en Suisse, la cour cantonale a retenu les éléments pertinents, à savoir que son intégration est bonne, qu'il parle le français, avait un casier judiciaire vierge avant les faits à l'origine de la présente condamnation et avait travaillé plusieurs années avant de connaître des problèmes de santé et le chômage. Elle a par ailleurs noté qu'il avait passé davantage d'années de sa vie d'adulte en Afrique, continent qu'il n'a quitté que vers l'âge de 32 ans, et au Portugal qu'en Suisse. Elle a de plus relevé qu'il avait la nationalité du Portugal, Etat qui était par ailleurs celui d'origine de son épouse et dont ses enfants sont tous les trois également ressortissants, et qu'il y avait déjà travaillé par le passé. Elle en a conclu que rien n'empêchait la famille de s'installer dans ce pays, où le recourant n'aurait pas plus de difficultés à se réintégrer qu'en Suisse.</w:t>
      </w:r>
    </w:p>
    <w:p>
      <w:r>
        <w:t>L'appréciation de la cour cantonale ne prête pas le flanc à la critique et c'est sans violer le principe de la proportionnalité que cette dernière a considéré que compte tenu de la gravité des infractions commises par le recourant l'intérêt public à son expulsion l'emporte sur son intérêt privé à demeurer en Suisse, même compte tenu de son degré d'intégration.</w:t>
      </w:r>
    </w:p>
    <w:p>
      <w:r>
        <w:t>Ainsi, la seconde condition pour l'application de l' art. 66a al. 2 CP n'étant pas réalisée, la cour cantonale n'a pas violé le droit fédéral, constitutionnel ou international en ordonnant l'expulsion du recourant pour une durée de dix ans.</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