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661/2013 vom 10. Juni 2014</w:t>
      </w:r>
    </w:p>
    <w:p>
      <w:r>
        <w:t>Bundesgericht, 2014-06-10, FR</w:t>
      </w:r>
    </w:p>
    <w:p>
      <w:r>
        <w:rPr>
          <w:b/>
        </w:rPr>
        <w:t xml:space="preserve">Quelle: </w:t>
      </w:r>
      <w:r>
        <w:t>https://mcp.opencaselaw.ch/entscheid/bger_6B_661_2013</w:t>
      </w:r>
    </w:p>
    <w:p>
      <w:r>
        <w:t>FR: TF 6B 661/2013 du 10 juin 2014</w:t>
      </w:r>
    </w:p>
    <w:p>
      <w:r>
        <w:t>IT: TF 6B 661/2013 del 10 giugno 2014</w:t>
      </w:r>
    </w:p>
    <w:p>
      <w:pPr>
        <w:pStyle w:val="Heading2"/>
      </w:pPr>
      <w:r>
        <w:t>Regeste</w:t>
      </w:r>
    </w:p>
    <w:p>
      <w:r>
        <w:t>Indemnité (ordonnance de classement partiel) | Procédure pénale</w:t>
      </w:r>
    </w:p>
    <w:p>
      <w:pPr>
        <w:pStyle w:val="Heading2"/>
      </w:pPr>
      <w:r>
        <w:t>Erwägungen</w:t>
      </w:r>
    </w:p>
    <w:p>
      <w:r>
        <w:rPr>
          <w:b/>
        </w:rPr>
        <w:t>E. 1</w:t>
      </w:r>
    </w:p>
    <w:p>
      <w:r>
        <w:t>Les prétentions en indemnisation fondées sur l' art. 429 CPP peuvent faire l'objet d'un recours en matière pénale ( ATF 139 IV 206 consid. 1 p. 208).</w:t>
      </w:r>
    </w:p>
    <w:p>
      <w:r>
        <w:rPr>
          <w:b/>
        </w:rPr>
        <w:t>E. 2.1</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2.2</w:t>
      </w:r>
    </w:p>
    <w:p>
      <w:r>
        <w:t>Le recourant débute ses écritures par une présentation personnelle des faits. Dans la mesure où il s'écarte des faits retenus par la cour cantonale sans démontrer que ceux-ci auraient été établis de manière arbitraire, son exposé est appellatoire, partant irrecevable.</w:t>
      </w:r>
    </w:p>
    <w:p>
      <w:r>
        <w:rPr>
          <w:b/>
        </w:rPr>
        <w:t>E. 3</w:t>
      </w:r>
    </w:p>
    <w:p>
      <w:r>
        <w:t>Le recourant se plaint d'une violation de l' art. 429 CPP .</w:t>
      </w:r>
    </w:p>
    <w:p>
      <w:r>
        <w:rPr>
          <w:b/>
        </w:rPr>
        <w:t>E. 3.1</w:t>
      </w:r>
    </w:p>
    <w:p>
      <w:r>
        <w:t>Selon l'alinéa 1 de cette disposition, le prévenu bénéficiant d'une ordonnance de classement a le droit à une indemnité pour ses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 L'alinéa 2 prévoit que l'autorité pénale examine d'office les prétentions du prévenu. Il résulte de cette disposition qu'il incombe à l'autorité pénale, à tout le moins, d'interpeller le prévenu sur cette question et, comme le prévoit la loi, de l'enjoindre au besoin à chiffrer et justifier ses prétentions en indemnisation (cf. arrêt 6B_472/2012 du 13 novembre 2012 consid. 2.1 et la référence citée).</w:t>
      </w:r>
    </w:p>
    <w:p>
      <w:r>
        <w:rPr>
          <w:b/>
        </w:rPr>
        <w:t>E. 3.2</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138 I 49 consid. 8.3.1 p. 53 et les références citées). Le principe de la bonne foi est également concrétisé à l' art. 3 CPP .</w:t>
      </w:r>
    </w:p>
    <w:p>
      <w:r>
        <w:rPr>
          <w:b/>
        </w:rPr>
        <w:t>E. 3.3</w:t>
      </w:r>
    </w:p>
    <w:p>
      <w:r>
        <w:t>Selon la cour cantonale, l'ordonnance de classement du 17 décembre 2012 avait expressément tranché la question des indemnités en renvoyant celle-ci au juge du fond, soit l'autorité saisie en parallèle des infractions de tentative d'instigation à assassinat, tentative d'instigation à lésions corporelles graves et infractions à la LEtr (cf. supra let. A). Peu importait que le ministère public n'ait pas été fondé à le faire, le recourant pouvait soulever ce grief dans le cadre du recours qu'il avait déposé, ce qu'il n'avait pas fait pour s'être limité à contester le maintien des séquestres. Par conséquent, la question des indemnités ne pouvait pas être revue à l'occasion d'un recours contre une décision ultérieure sur le même objet. Que dans sa décision du 8 février 2013, l'autorité de recours ait annulé le ch. 3 du dispositif n'y changeait rien dès lors que cette annulation ne concernait que la question du séquestre. Elle n'impliquait pas une obligation pour le ministère public de statuer à nouveau sur la question des indemnités. La cour cantonale a également retenu qu'il pouvait être déduit du courrier du recourant du 13 décembre 2012 adressé au ministère public à la suite de l'avis de prochaine clôture et de son recours limité à la question des séquestres qu'il n'avait émis aucune prétention en indemnisation voire qu'il avait valablement renoncé à en émettre. Le ministère public n'avait ainsi pas à interpeller le recourant à ce sujet pour qu'il chiffre ou justifie une demande d'indemnisation. De plus, il ne pouvait être retenu que le recourant s'était abstenu de soulever cette question dans son recours contre l'ordonnance de classement du 17 décembre 2012 parce qu'il croyait de bonne foi qu'elle serait tranchée par le juge du fond puisqu'il avait déposé une demande d'indemnisation devant le ministère public dans l'intervalle, soit le 31 janvier 2013. Enfin, le recourant avait émis des prétentions devant le juge du fond qui se recoupaient avec celles émises dans sa demande du 31 janvier 2013 et il ne pouvait pas être indemnisé deux fois pour la même cause.</w:t>
      </w:r>
    </w:p>
    <w:p>
      <w:r>
        <w:rPr>
          <w:b/>
        </w:rPr>
        <w:t>E. 3.4</w:t>
      </w:r>
    </w:p>
    <w:p>
      <w:r>
        <w:t>Contrairement à ce qu'a retenu la cour cantonale, l'examen d'office découlant de l' art. 429 al. 2 CPP impose à l'autorité d'interpeller le prévenu sur la question de son indemnisation fondée sur l' art. 429 al. 1 CPP (cf. supra consid. 3.1). De plus, la cour cantonale ne pouvait inférer du courrier du 13 décembre 2012 que le recourant avait renoncé à émettre de telles prétentions. Bien au contraire, il en ressort que le recourant a indiqué qu'il avait « payé cher » l'accusation de blanchiment alors que c'était lui qui « devrait recevoir une indemnité ». Au vu de ces éléments et de son obligation d'examiner la question d'office, le ministère public devait interpeller le recourant au sujet de sa demande d'indemnité et au besoin l'enjoindre à la chiffrer et à la justifier. La violation par le ministère public de l'examen d'office auquel il était tenu selon l' art. 429 al. 2 CPP ne saurait avoir pour conséquence de priver le recourant de son droit à une indemnisation. Le principe de la bonne foi implique que le recourant n'a pas à subir de préjudice en raison de l'erreur du ministère public (cf. arrêt 6B_472/2012 précité consid. 2.4). Le recourant pouvait ainsi se fier au chiffre 3 du dispositif de l'ordonnance de classement du 17 décembre 2012 et légitimement penser que l'indemnisation serait traitée dans une autre procédure. Il ne peut pas lui être reproché de ne pas avoir soulevé cette question dans son recours. Le fait qu'il ait finalement, dans l'intervalle, déposé une demande d'indemnisation auprès du ministère public n'y change rien. Il a de la sorte uniquement cherché à réparer l'erreur du ministère public. L'indemnisation du recourant relative au classement de la prévention de blanchiment d'argent n'a en l'état pas fait l'objet d'une décision topique. Une telle décision doit être rendue. Il incombera à l'autorité cantonale, dans le cadre de l'examen de la demande d'indemnité en relation avec le classement de la prévention de blanchiment d'argent, de déterminer si les prétentions émises par le recourant sont partiellement ou entièrement les mêmes que celles émises en relation avec la procédure parallèle jugée en première instance par le Tribunal correctionnel (cf. supra let. A).</w:t>
      </w:r>
    </w:p>
    <w:p>
      <w:r>
        <w:rPr>
          <w:b/>
        </w:rPr>
        <w:t>E. 4</w:t>
      </w:r>
    </w:p>
    <w:p>
      <w:r>
        <w:t>Au vu de ce qui précède, le recours doit être admis, la cause renvoyée à l'autorité cantonale pour nouvelle décision sur l'indemnité fondée sur l' art. 429 CPP en relation avec le classement de la procédure du chef de prévention de blanchiment d'argent. Le recourant obtient gain de cause. Il ne supporte pas de frais (art. 65 al. 2 et 66 al. 1 LTF). Il peut prétendre à de pleins dépens ( art. 68 al. 1 LTF ). La requête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