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6B_660/2022 vom 7. März 2023</w:t>
      </w:r>
    </w:p>
    <w:p>
      <w:r>
        <w:t>Bundesgericht, 2023-03-07, FR</w:t>
      </w:r>
    </w:p>
    <w:p>
      <w:r>
        <w:rPr>
          <w:b/>
        </w:rPr>
        <w:t xml:space="preserve">Quelle: </w:t>
      </w:r>
      <w:r>
        <w:t>https://mcp.opencaselaw.ch/entscheid/bger_6B_660_2022</w:t>
      </w:r>
    </w:p>
    <w:p>
      <w:r>
        <w:t>FR: TF 6B_660/2022 du 7 mars 2023</w:t>
      </w:r>
    </w:p>
    <w:p>
      <w:r>
        <w:t>IT: TF 6B_660/2022 del 7 marzo 2023</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6B_566/2022 du 18 janvier 2023 consid. 1; 6B_1266/2020 du 25 avril 2022 consid. 2 non publié in ATF 148 IV 256 ).</w:t>
      </w:r>
    </w:p>
    <w:p>
      <w:r>
        <w:t>En l'espèce, le recourant se borne à conclure à l'annulation de la décision attaquée et au renvoi de la cause à l'autorité cantonale pour nouvelle décision. Ce faisant, il n'indique pas quelles sont les modifications de la décision attaquée qu'il entend concrètement solliciter sur le fond. On parvient néanmoins à comprendre, sur le vu des motifs du recours, qu'il entend obtenir la réforme de la décision, dans le sens que sa demande de révision est admise. Cela suffit tout juste pour satisfaire aux exigences de forme déduites de l' art. 42 al. 1 et 2 LTF .</w:t>
      </w:r>
    </w:p>
    <w:p>
      <w:r>
        <w:rPr>
          <w:b/>
        </w:rPr>
        <w:t>E. 2</w:t>
      </w:r>
    </w:p>
    <w:p>
      <w:r>
        <w:t>Invoquant l' art. 9 Cst. , le recourant soutient que la cour cantonale a arbitrairement rejeté sa demande de révision.</w:t>
      </w:r>
    </w:p>
    <w:p>
      <w:r>
        <w:rPr>
          <w:b/>
        </w:rPr>
        <w:t>E. 2.1</w:t>
      </w:r>
    </w:p>
    <w:p>
      <w:r>
        <w:t>Aux termes de l' art. 410 al. 1 let. a CPP , toute personne lésée par un jugement entré en force peut en demander la révision s'il existe des faits ou des moyens de preuve qui étaient inconnus de l'autorité inférieure et qui sont de nature à motiver l'acquittement ou une condamnation sensiblement moins sévère ou plus sévère du condamné.</w:t>
      </w:r>
    </w:p>
    <w:p>
      <w:r>
        <w:t>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6B_361/2021 du 16 février 2022 consid. 2.1.3; 6B_1122/2021 du 20 juin 2022 consid. 1.1).</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2.3</w:t>
      </w:r>
    </w:p>
    <w:p>
      <w:r>
        <w:t>La cour cantonale a considéré que la mise à néant du jugement rendu par défaut le 19 janvier 2018 à l'encontre du recourant et sa condamnation à une peine pécuniaire - en lieu et place de la peine privative de liberté prononcée par défaut - avec sursis par nouveau jugement du 24 février 2022 était incontestablement un fait nouveau. Elle a cependant considéré qu'il n'était pas sérieux au sens de l' art. 410 al. 1 let. a CPP , dès lors qu'il ne permettait pas de modifier l'appréciation faite dans le cadre du jugement rendu le 27 avril 2020 dont la révision était demandée. En effet, le constat concernant les antécédents dans le même domaine d'infraction au moment du jugement attaqué ne se trouvait pas modifié. Le recourant avait déjà été condamné les 30 juin 2014 et 22 avril 2015 pour entrée illégale, séjour illégal et activité lucrative sans autorisation et il avait bien récidivé entre janvier 2018 et juillet 2019, puisque le nouveau jugement rendu le 24 février 2022 prenait acte de sa reconnaissance des infractions retenues dans le jugement par défaut. Ainsi, au moment de la condamnation du 27 avril 2020, le recourant était bien un multirécidiviste en matière d'infractions à la loi fédérale sur les étrangers, ce qui justifiait le prononcé d'une peine privative de liberté et non d'une peine pécuniaire, cela pour d'évidents motifs de prévention spéciale. Par ailleurs, le nouveau jugement rendu le 24 février 2022 ne comportait aucune motivation au sujet du pronostic favorable posé, qui ne paraissait fondé que sur le fait que le recourant avait accepté une procédure simplifiée.</w:t>
      </w:r>
    </w:p>
    <w:p>
      <w:r>
        <w:rPr>
          <w:b/>
        </w:rPr>
        <w:t>E. 2.4</w:t>
      </w:r>
    </w:p>
    <w:p>
      <w:r>
        <w:t>Tout d'abord, contrairement à ce que soutient le recourant, il ne ressort pas de la décision attaquée que la cour cantonale aurait "reproché" à celui-ci d'avoir accepté une procédure simplifiée. Elle a néanmoins constaté à juste titre que le jugement du 24 février 2022 ne comportait aucun élément nouveau et sérieux qui justifierait de poser un pronostic favorable (cf. jugement du tribunal de police du 24 février 2022; pièce 21/3 du dossier cantonal; art. 105 al. 2 LTF ).</w:t>
      </w:r>
    </w:p>
    <w:p>
      <w:r>
        <w:t>Pour le surplus, le recourant soutient qu'en modifiant la peine du jugement du 19 janvier 2018, le tribunal de police a rendu un nouveau jugement "beaucoup moins sévère", de sorte qu'il devrait "bénéficier" d'une révision. Or, il ressort du jugement du 27 avril 2020 que le tribunal de police avait prononcé une peine privative de liberté et non une peine pécuniaire au motif que "les précédentes peines prononcées sanctionnant un séjour illégal en Suisse et la prise d'activité lucrative n'ont eu aucun effet sur [le recourant]" (cf. jugement du 27 avril 2020; art. 105 al. 2 LTF ). On comprend ainsi de la motivation cantonale que, pour des motifs de prévention spéciale, seule une peine privative de liberté pouvait être prononcée, en raison du fait que le recourant avait commis auparavant des infractions du même type, pour lesquelles il avait été condamné en 2014, 2015 et 2018. Or, dans le jugement du 24 février 2022 - à supposer que celui-ci puisse être considéré comme nouveau au sens de l' art. 410 al. 1 let. a CPP -, la condamnation de 2018 du recourant pour séjour illégal et travail sans autorisation - pour la troisième fois - a bien été confirmée. Le seul fait qu'il ait, dans le cadre du nouveau jugement, bénéficié d'une peine pécuniaire, ne suffit pas à motiver une peine sensiblement plus favorable dans le cadre du jugement du 27 avril 2020.</w:t>
      </w:r>
    </w:p>
    <w:p>
      <w:r>
        <w:rPr>
          <w:b/>
        </w:rPr>
        <w:t>E. 2.5</w:t>
      </w:r>
    </w:p>
    <w:p>
      <w:r>
        <w:t>Il s'ensuit que la cour cantonale n'a pas versé dans l'arbitraire ni violé le droit fédéral en rejetant la demande de révision du recourant.</w:t>
      </w:r>
    </w:p>
    <w:p>
      <w:r>
        <w:rPr>
          <w:b/>
        </w:rPr>
        <w:t>E. 3</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