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6B_65/2012 vom 23. Februar 2012</w:t>
      </w:r>
    </w:p>
    <w:p>
      <w:r>
        <w:t>Bundesgericht, 2012-02-23, FR</w:t>
      </w:r>
    </w:p>
    <w:p>
      <w:r>
        <w:rPr>
          <w:b/>
        </w:rPr>
        <w:t xml:space="preserve">Quelle: </w:t>
      </w:r>
      <w:r>
        <w:t>https://mcp.opencaselaw.ch/entscheid/bger_6B_65_2012</w:t>
      </w:r>
    </w:p>
    <w:p>
      <w:r>
        <w:t>FR: TF 6B_65/2012 du 23 février 2012</w:t>
      </w:r>
    </w:p>
    <w:p>
      <w:r>
        <w:t>IT: TF 6B_65/2012 del 23 febbraio 2012</w:t>
      </w:r>
    </w:p>
    <w:p>
      <w:pPr>
        <w:pStyle w:val="Heading2"/>
      </w:pPr>
      <w:r>
        <w:t>Erwägungen</w:t>
      </w:r>
    </w:p>
    <w:p>
      <w:r>
        <w:rPr>
          <w:b/>
        </w:rPr>
        <w:t>E. 1</w:t>
      </w:r>
    </w:p>
    <w:p>
      <w:r>
        <w:t>Invoquant une violation des art. 51 et 110 al. 7 CP , la recourante se plaint de ce que l'entier des jours passés en détention avant jugement n'a pas été imputé. Selon elle, il convient d'imputer 80 jours et non 79 jours comme retenu par l'autorité précédente.</w:t>
      </w:r>
    </w:p>
    <w:p>
      <w:r>
        <w:t>La détention avant jugement a été fixée à 2 mois et 19 jours dans le jugement du 1er mars 2010. Cet aspect n'a ensuite pas été contesté en procédure. L'autorité précédente a converti les 2 mois et 19 jours en 79 jours (soit 2 x 30 + 19), ce qui correspondait à 316 heures de travail d'intérêt général, un jour valant 4 heures selon l' art. 51 CP (cf. arrêt attaqué, p. 6). La recourante relève que sa détention a débuté le 5 mai 2009 et qu'elle a été libérée le 24 juillet 2009, ce qui donne 80 jours de détention, qui auraient dû être transformés en 320 heures (80 x 4) de travail d'intérêt général.</w:t>
      </w:r>
    </w:p>
    <w:p>
      <w:r>
        <w:t>La question ici litigieuse ne porte pas sur l'interprétation ni la portée à donner à l' art. 51 CP , étant précisé qu'une fraction de jour de détention compte en principe comme un jour (cf. CHRISTOPH METTLER, Basler Kommentar, Strafrecht I, 2e éd. 2007, n. 33 ad art. 51 CP ; STEFAN TRECHSEL/HEIDI AFFOLTER-EIJSTEN, Schweizerisches Strafgesetzbuch, Praxiskommentar, 2008, n. 9 ad art. 51 CP ). La question litigieuse se résume bien plutôt à une question de calcul des jours à imputer. Le cas échéant, si la détermination du nombre de jours passés en détention est erronée, cette situation s'apparente à une inadvertance manifeste relative à un point de fait qui peut être établi sans équivoque. A supposer l'existence d'une telle erreur, sa correction impliquerait de passer par la voie de droit prévue à l' art. 83 CPP , laquelle est précisément destinée à permettre la rectification d'erreur de calcul (cf. NILS STOHNER, Basler Kommentar, Schweizerische Strafprozessordnung, 2011, n. 10 ad art. 83 CPP ). C'est donc cette voie de droit que la recourante aurait préalablement dû emprunter avant de saisir le Tribunal fédéral. A ce stade, son grief est irrecevable, faute d'épuisement des instances cantonales (cf. art. 80 al. 1 LTF ; ATF 135 I 91 consid. 2.1). Il incombera le cas échéant à la recourante de saisir l'autorité d'une requête selon l' art. 83 CPP .</w:t>
      </w:r>
    </w:p>
    <w:p>
      <w:r>
        <w:rPr>
          <w:b/>
        </w:rPr>
        <w:t>E. 2</w:t>
      </w:r>
    </w:p>
    <w:p>
      <w:r>
        <w:t>Invoquant une violation de l' art. 29 Cst. et des art. 429 ss CPP , plus particulièrement 436 al. 2 CPP, la recourante se plaint de n'avoir pas obtenu d'indemnité.</w:t>
      </w:r>
    </w:p>
    <w:p>
      <w:r>
        <w:t>La violation alléguée de l' art. 29 Cst. n'a pas de portée propre par rapport à celle invoquée des art. 429 et 436 al. 2 CPP . 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 art. 436 al. 2 CPP spécifie en outre pour la procédure de recours que si ni un acquittement total ou partiel, ni un classement de la procédure ne sont prononcés mais que le prévenu obtient gain de cause sur d'autres points, il a droit à une juste indemnité pour ses dépenses. L'indemnité selon les art. 429 al. 1 let. a et 436 al. 2 CPP concerne les dépenses du prévenu pour un avocat de choix (cf. YVONA GRIESER, in DONATSCH/HANSJAKOB/LIEBER (éd.), Kommentar zur Schweizerischen Strafprozessordnung, 2010, n. 4 ad art. 429 CPP ; NIKLAUS SCHMID, Schweizerische Strafprozessordnung, Praxiskommentar, 2009, n. 7 ad art. 429 CPP ; STEFAN WEHRENBERG/IRENE BERNHARD, Basler Kommentar, Schweizerische Strafprozessordnung, 2011, n. 12 ad art. 429 CPP et n. 3 in fine ad art. 436 CPP ).</w:t>
      </w:r>
    </w:p>
    <w:p>
      <w:r>
        <w:t>En l'espèce, la recourante a certes partiellement obtenu gain de cause relativement au type de peine infligée, la peine privative de liberté ayant été transformée en travail d'intérêt général. Il ressort cependant du dossier qu'elle n'a pas été défendue par un avocat de choix mais a bénéficié de l'assistance judiciaire pour la procédure cantonale et, par ce biais, d'un défenseur d'office. Les frais imputables à la défense d'office, qui font partie des frais de procédure ( art. 422 al. 2 let. a CPP ), n'ont en principe pas à être supportés par le prévenu condamné ( art. 426 al. 1 CPP ). Il s'ensuit qu'en l'occurrence la recourante n'a pas elle-même supporté de dépenses relatives à un avocat de choix. Elle ne saurait partant prétendre à une indemnité à ce titre, les conditions de l' art. 436 al. 2 CPP n'étant pas réalisées. L'autorité précédente n'a dès lors pas violé le droit fédéral en n'allouant pas d'indemnité à la recourante. Le grief est infondé.</w:t>
      </w:r>
    </w:p>
    <w:p>
      <w:r>
        <w:rPr>
          <w:b/>
        </w:rPr>
        <w:t>E. 3</w:t>
      </w:r>
    </w:p>
    <w:p>
      <w:r>
        <w:t>Le recours doit être rejeté dans la mesure où il est recevable. Les conclusions du recours étant vouées à l'échec, l'assistance judiciaire ne peut être accordée ( art. 64 al. 1 LTF ). La recourante devra donc supporter les frais,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