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6B_658/2020 vom 23. August 2021</w:t>
      </w:r>
    </w:p>
    <w:p>
      <w:r>
        <w:t>Bundesgericht, 2021-08-23, DE</w:t>
      </w:r>
    </w:p>
    <w:p>
      <w:r>
        <w:rPr>
          <w:b/>
        </w:rPr>
        <w:t xml:space="preserve">Quelle: </w:t>
      </w:r>
      <w:r>
        <w:t>https://mcp.opencaselaw.ch/entscheid/bger_6B_658_2020</w:t>
      </w:r>
    </w:p>
    <w:p>
      <w:r>
        <w:t>FR: TF 6B_658/2020 du 23 août 2021</w:t>
      </w:r>
    </w:p>
    <w:p>
      <w:r>
        <w:t>IT: TF 6B_658/2020 del 23 agosto 2021</w:t>
      </w:r>
    </w:p>
    <w:p>
      <w:pPr>
        <w:pStyle w:val="Heading2"/>
      </w:pPr>
      <w:r>
        <w:t>Erwägungen</w:t>
      </w:r>
    </w:p>
    <w:p>
      <w:r>
        <w:rPr>
          <w:b/>
        </w:rPr>
        <w:t>E. 1.1</w:t>
      </w:r>
    </w:p>
    <w:p>
      <w:r>
        <w:t>Der Beschwerdeführer beanstandet die vorinstanzliche Sachverhaltsfeststellung und rügt den Grundsatz "in dubio pro reo" als verletzt. Im Wesentlichen macht er geltend, die Vorinstanz würdige die Aussagen der Beschwerdegegnerin 3 falsch bzw. stelle willkürlich deren Glaubhaftigkeit fest. Beispielsweise lasse die Vorinstanz mehrere Widersprüche in den Ausführungen der Beschwerdegegnerin 3 unberücksichtigt; auch ihr aggravierendes Aussageverhalten spreche gegen deren Glaubwürdigkeit. Die einfache Körperverletzung könne ebenfalls nicht rechtsgenüglich nachgewiesen werden. In Bezug auf den Schuldspruch wegen sexueller Nö tigung zum Nachteil von D.________ bringt der Beschwerdeführer zusammengefasst vor, es sei unklar, wo genau sich der angebliche Übergriff abgespielt habe. Denn am fraglichen Tag sei schönes Wetter gewesen, weshalb viele Spaziergänger unterwegs gewesen seien. Gegen die Glaubhaftigkeit der Angaben von D.________ spreche daher, dass niemand den angeblichen Vorfall beobachtet habe, obwohl sie sich heftig gewehrt haben soll. Sodann habe ihr Freund gesagt, dass sie gelächelt habe, als sie vom mutmasslichen Übergriff zurückgekehrt sei. Insgesamt sei der von D.________ geschilderte Sachverhalt unwahrscheinlich. Hinsichtlich des Vorwurfs der sexuellen Nötigung zum Nachteil der Beschwerdegegnerin 2 führt der Beschwerdeführer aus, er bestreite auch hier sämtliche Vorwürfe. Es sei offensichtlich, dass die Glaubwürdigkeit der Beschwerdegegnerin 2 und seine Unglaubwürdigkeit bereits anlässlich des Anzeigerapports festgestanden hätten. Er habe keine Möglichkeit gehabt, die kantonalen Instanzen von seiner Unschuld zu überzeugen. Insbesondere habe die Vorinstanz die Anschuldigungen betreffend die Beschwerdegegnerin 3 und die angeblichen Vorwürfe seines ehemaligen Arbeitgebers mitberücksichtigt, was dem Prinzip der Unschuldsvermutung zuwiderlaufe. Wenn sich die Massage so abgespielt habe, wie es die Beschwerdegegnerin 2 schildere, so stelle sich die Frage, wieso sie sich nicht schon viel früher gewehrt habe. Ihr Verhalten sei widersprüchlich und nicht nachvollziehbar (Beschwerde S. 9-18).</w:t>
      </w:r>
    </w:p>
    <w:p>
      <w:r>
        <w:rPr>
          <w:b/>
        </w:rPr>
        <w:t>E. 1.2</w:t>
      </w:r>
    </w:p>
    <w:p>
      <w:r>
        <w:t>Das Bundesgericht legt seinem Urteil den Sachverhalt zugrunde, den die Vorinstanz festgestellt hat ( Art. 105 Abs. 1 BGG ). Die Sachverhaltsfeststellung und Beweiswürdigung der Vorinstanz kann vor Bundesgericht nur gerügt werden, wenn sie willkürlich ist und wenn die Behebung des Mangels für den Ausgang des Verfahrens entscheidend sein kann ( Art. 97 Abs. 1 BGG ; BGE 145 IV 154 E. 1.1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je mit Hinweisen). Die Willkürrüge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 BGE 145 IV 154 E. 1.1 mit Hinweisen).</w:t>
      </w:r>
    </w:p>
    <w:p>
      <w:r>
        <w:t>Dem Grundsatz "in dubio pro reo" kommt in seiner Funktion als Beweiswürdigungsregel im Verfahren vor dem Bundesgericht keine über das Willkürverbot von Art. 9 BV hinausgehende Bedeutung zu ( BGE 146 IV 88 E. 1.3.1; 145 IV 154 E. 1.1; je mit Hinweisen).</w:t>
      </w:r>
    </w:p>
    <w:p>
      <w:r>
        <w:rPr>
          <w:b/>
        </w:rPr>
        <w:t>E. 1.3</w:t>
      </w:r>
    </w:p>
    <w:p>
      <w:r>
        <w:t>Die Vorinstanz nimmt eine einlässliche Beweiswürdigung vor. Sie begründet eingehend und nachvollziehbar, weshalb sie zum Schluss gelangt, bei den angeklagten Vorfällen könne insbesondere jeweils auf die glaubhaften Aussagen der Opfer abgestellt werden, weshalb der Sachverhalt gemäss Anklageschrift ohne Zweifel als erstellt gelte (Urteil S. 18-49). Diese Schlussfolgerung ist nicht zu beanstanden. Was der Beschwerdeführer gegen die tatsächlichen Feststellungen und die Beweiswürdigung der Vorinstanz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Folglich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Der Beschwerdeführer beschränkt sich darauf, seinen Standpunkt zu erörtern und die Argumente vorzutragen, die seiner Auffassung nach zu Zweifeln hinsichtlich der Glaubhaftigkeit der Aussagen der Opfer führen sollen. Insgesamt ist eine Verletzung des Willkürverbots oder des Grundsatzes "in dubio pro reo" weder ausreichend dargetan noch erkennbar. Die Vorbringen des Beschwerdeführers erweisen sich als unbegründet, soweit sie den Begründungsanforderungen überhaupt genügen.</w:t>
      </w:r>
    </w:p>
    <w:p>
      <w:r>
        <w:rPr>
          <w:b/>
        </w:rPr>
        <w:t>E. 2.1</w:t>
      </w:r>
    </w:p>
    <w:p>
      <w:r>
        <w:t>Weiter macht der Beschwerdeführer geltend, der Sachverhalt gemäss Anklageschrift vom 8. Dezember 2016 sei als sexuelle Belästigung angeklagt worden und nicht als sexuelle Nötigung. Das Gericht sei bei der rechtlichen Würdigung zwar nicht gebunden, die Vorinstanz gehe aber zu Unrecht davon aus, dass die Tatbestandsmerkmale von Art. 189 Abs. 1 StGB erfüllt seien. Das angebliche Küssen, unter das Shirt-Langen und Andrücken des Gliedes würden Tatbestandselemente der sexuellen Belästigung und nicht der sexuellen Nötigung umschreiben (Beschwerde S. 15 f.).</w:t>
      </w:r>
    </w:p>
    <w:p>
      <w:r>
        <w:rPr>
          <w:b/>
        </w:rPr>
        <w:t>E. 2.2</w:t>
      </w:r>
    </w:p>
    <w:p>
      <w:r>
        <w:t>Nach dem aus Art. 29 Abs. 2 und Art. 32 Abs. 2 BV sowie aus Art. 6 Ziff. 1 und 3 lit. a und b EMRK abgeleiteten und nunmehr in Art. 9 Abs. 1 sowie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132 E. 3.4.1; Urteil 6B_1257/2020 vom 12. April 2021 E. 1.1.2; je mit Hinweisen).</w:t>
      </w:r>
    </w:p>
    <w:p>
      <w:r>
        <w:t>Soweit der Beschwerdeführer mit seinen Vorbringen (sinngemäss) eine Verletzung des Anklagegrundsatzes rügt, sind seine Einwände unbegründet. Die Anklage wirft ihm im Wesentlichen vor, er habe D.________ in einer kräftigen Umarmung festgehalten - eine Hand am Nacken, die andere am Rücken - sie währenddessen gegen ihren Willen auf den Hals geküsst und auf den Mund zu küssen versucht sowie die Hand am Rücken unter ihr T-Shirt geschoben, dies alles, obwohl sich D.________ gegen die Umarmung gewehrt habe, indem sie sich gewunden habe. Als es ihr gelungen sei, sich aus der Umarmung zu befreien, habe der Beschwerdeführer sie erneut von hinten gepackt, festgehalten und sein erigiertes Glied gegen ihr Gesäss gepresst. Die Anklageschrift genügt den gesetzlichen Anforderungen, denn daraus geht hinreichend klar hervor, was dem Beschwerdeführer vorgeworfen wird. Ob der in ihr umschriebene Sachverhalt als sexuelle Nötigung oder als sexuelle Belästigung zu qualifizieren ist, ist eine Frage der rechtlichen Würdigung.</w:t>
      </w:r>
    </w:p>
    <w:p>
      <w:r>
        <w:rPr>
          <w:b/>
        </w:rPr>
        <w:t>E. 2.3</w:t>
      </w:r>
    </w:p>
    <w:p>
      <w:r>
        <w:t>Die Vorinstanz erwägt, es seien die gesamten objektiven Umstände des sexuellen Übergriffs zu berücksichtigen. Bereits im Restaurant sei es zu ersten Annäherungsversuchen und unsittlichen Berührungen durch den Beschwerdeführer gekommen. Er habe vertrauensbildend auf das Opfer eingewirkt, indem er zuerst ohne sexuelle Übergriffe mit diesem den Waldweg entlang gegangen sei und vertrauenserweckend auf es eingeredet habe. Anschliessend habe er dieses Vertrauen ausgenutzt, indem er das Opfer kräftig umarmt habe, um es auf den Hals zu küssen und versucht habe, es auf den Mund zu küssen. Weiter habe er seine Hand unter ihr T-Shirt geschoben und sein erigiertes Glied von hinten an das Gesäss des Opfers gepresst. Aufgrund des Altersunterschieds von neun Jahren, der mehrfachen Übergriffe bzw. Einzelhandlungen, die in ihrer Gesamtheit entschieden mehr als eine flüchtige Berührung darstellen würden, dies auf einem Waldweg mit verbaler und nonverbaler Gegenwehr des Opfers, den vorangegangenen Berührungen, des vertrauenserweckenden Spazierens, gelangt die Vorinstanz im Sinne einer Gesamtbetrachtung zum Schluss, dass das Tatbestandsmerkmal der sexuellen Handlung erfüllt sei. Das Opfer habe diese sexuellen Handlungen durch Gewaltanwendung des Beschwerdeführers trotz der nach den Umständen zumutbaren und ausgeübten Ab- sowie Gegenwehr erdulden müssen (Urteil S. 53 f. E. 31.2).</w:t>
      </w:r>
    </w:p>
    <w:p>
      <w:r>
        <w:rPr>
          <w:b/>
        </w:rPr>
        <w:t>E. 2.4.1</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 Art. 189 StGB bezweckt den Schutz der sexuellen Selbstbestimmung. Das Individuum soll sich im Bereich des Geschlechtslebens unabhängig von äusseren Zwängen oder Abhängigkeiten frei entfalten und entschliessen können. Der Tatbestand von Art. 189 StGB setzt voraus, dass der Täter das Opfer durch eine Nötigungshandlung dazu bringt, eine sexuelle Handlung zu erdulden oder vorzunehmen. Er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Urteile 6B_1/2021 vom 10. Mai 2021 E. 2.2; 6B_1444/2020 vom 10. März 2021 E. 2.3.2; 6B_941/2019 vom 14. Februar 2020 E. 4.2.2; je mit Hinweisen).</w:t>
      </w:r>
    </w:p>
    <w:p>
      <w:r>
        <w:t>Gewalt im Sinne von Art. 189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dieses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6B_1/2021 vom 10. Mai 2021 E. 2.2; 6B_1444/2020 vom 10. März 2021 E. 2.3.2; je mit Hinweisen).</w:t>
      </w:r>
    </w:p>
    <w:p>
      <w:r>
        <w:t>Sexuelle Handlungen lassen sich nach der Eindeutigkeit ihres Sexualbezugs abgrenzen. Keine sexuellen Handlungen sind Verhaltensweisen, die nach ihrem äusseren Erscheinungsbild keinen unmittelbaren sexuellen Bezug aufweisen. Als sexuelle Handlungen im Sinne von Art. 187 Ziff. 1 und Art. 189 Abs. 1 StGB gelten hingegen Verhaltensweisen, die für den Aussenstehenden nach ihrem äusseren Erscheinungsbild einen unmittelbaren sexuellen Bezug aufweisen und im Hinblick auf das geschützte Rechtsgut erheblich sind ( BGE 131 IV 100 E. 7.1; 125 IV 58 E. 3b; Urteile 6B_1/2021 vom 10. Mai 2021 E. 2.2; 6B_935/2020 vom 25. Februar 2021 E. 3.1; 6B_1102/2019 vom 28. November 2019 E. 2.2; je mit Hinweisen). Bedeutsam für die Beurteilung der Erheblichkeit sind qualitativ die Art und quantitativ die Intensität sowie die Dauer der Handlung, wobei die gesamten Begleitumstände - so etwa das Alter des Opfers und der Altersunterschied zum Täter - zu berücksichtigen sind (vgl. BGE 125 IV 58 E. 3b S. 63; Urteile 6B_1260/2019 vom 12. November 2020 E. 2.2.3; je mit Hinweisen; 6S.355/2006 vom 7. Dezember 2006 E. 3.2, nicht publ. in: BGE 133 IV 31 ; 6B_7/2011 vom 15. Februar 2011 E. 1.2; zur Subsidiarität von Art. 198 StGB : Urteil 6B_35/2017 vom 26. Februar 2018 E. 4.2). Dies gilt insbesondere bei der Beurteilung des sexuellen Charakters von Küssen. Während das Küssen auf Mund, Wangen usw. in der Regel keine sexuelle Handlung darstellt, werden Zungenküsse von Erwachsenen an Kindern als sexuelle Handlung qualifiziert ( BGE 125 IV 58 E. 3b S. 63 mit Hinweisen).</w:t>
      </w:r>
    </w:p>
    <w:p>
      <w:r>
        <w:rPr>
          <w:b/>
        </w:rPr>
        <w:t>E. 2.4.2</w:t>
      </w:r>
    </w:p>
    <w:p>
      <w:r>
        <w:t>Gemäss Art. 198 Abs. 2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bzw. um physische, optische und verbale Zumutungen sexueller Art. Aus dem Merkmal der Belästigung ergibt sich, dass das Opfer in diese weder eingewilligt noch sie - etwa spasseshalber - provoziert haben darf.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oder Umarmungen ( BGE 137 IV 263 E. 3.1 mit Hinweisen) oder wenn sich der Täter an die andere Person schmiegt, um dieser sein erigiertes Glied spüren zu lassen (Urteile 6B_35/2017 vom 26. Februar 2018 E. 4.2; 6B_303/2008 vom 22. Januar 2009 E. 3; 6P.123/2003 vom 21. November 2003 E. 6.1; je mit Hinweisen).</w:t>
      </w:r>
    </w:p>
    <w:p>
      <w:r>
        <w:rPr>
          <w:b/>
        </w:rPr>
        <w:t>E. 2.5</w:t>
      </w:r>
    </w:p>
    <w:p>
      <w:r>
        <w:t>Die rechtliche Würdigung im angefochtenen Entscheid betreffend den Schuldspruch der sexuellen Nötigung zum Nachteil von D.________ verletzt kein Bundesrecht. Die dem Beschwerdeführer zur Last gelegten körperlichen Kontakte erreichen die für die Annahme einer sexuellen Handlung im Sinne von Art. 189 Abs. 1 StGB notwendige Intensität. Gemäss den tatsächlichen Feststellungen der Vorinstanz hielt der Beschwerdeführer D.________ in einer kräftigen Umarmung fest, küsste sie auf den Hals, versuchte sie auf den Mund zu küssen, führte eine Hand über ihren nackten Rücken und drückte bei der zweiten Umarmung von hinten sein erigiertes Geschlechtsteil an ihr Gesäss. Werden die dem Beschwerdeführer vorgeworfenen Verhaltensweisen nicht als einzelne Handlungen sondern als Gesamtgeschehen gewürdigt, sind sie als erheblich zu bezeichnen. Der angeklagte Übergriff spielte sich Anfang Mai am späteren Nachmittag nach einem vertrauenserweckendem Spazieren in einem Wald hinter einem Freibad ab. Der neun Jahre ältere Beschwerdeführer umarmte D.________ kräftig, küsste sie auf den Hals, versuchte sie auf den Mund zu küssen, strich mit seiner Hand über ihren nackten Rücken und drückte schliesslich sein erigiertes Glied über den Kleidern an ihr Gesäss. Diese intensiven Zudringlichkeiten des Beschwerdeführers waren geeignet, die sexuelle Selbstbestimmung von D.________ zu gefährden. Der ihr aufgezwungene körperliche Kontakt fällt hier unter den Tatbestand von Art. 189 Abs. 1 StGB . Die Beschwerde erweist sich daher insoweit als unbegründet. Da sich der Beschwerdeführer somit der sexuellen Nötigung und nicht der sexuellen Belästigung zum Nachteil von D.________ schuldig gemacht hat, erübrigt es sich, die Frage des Strafantrags zu vertiefen (Beschwerde S. 16).</w:t>
      </w:r>
    </w:p>
    <w:p>
      <w:r>
        <w:rPr>
          <w:b/>
        </w:rPr>
        <w:t>E. 3.1</w:t>
      </w:r>
    </w:p>
    <w:p>
      <w:r>
        <w:t>Der Beschwerdeführer wendet sich gegen die Anordnung der Landesverweisung. Er macht zusammengefasst geltend, entgegen den Ausführungen der Vorinstanz sei von einem schweren persönlichen Härtefall im Sinne von Art. 66a Abs. 2 StGB auszugehen. Dies zum einen aufgrund seiner familiären Verhältnisse, namentlich die Beziehung zu seinem Kind, zu dem er den persönlichen Kontakt gänzlich verlieren würde bzw. nicht aufbauen könnte. Zum anderen wegen den fehlenden Reintegrationsmöglichkeiten in seinem Heimatland sowohl in beruflicher wie auch in persönlicher Hinsicht. Die Vorinstanz stelle den Sachverhalt diesbezüglich offensichtlich falsch fest und wende Art. 66a Abs. 2 StGB fehlerhaft an. Weiter unterlasse sie es, Art. 8 Abs. 1 EMRK und Art. 13 BV zu berücksichtigen. Die Nichtannahme eines Härtefalls verletze auch das Verhältnismässigkeitsprinzip (Beschwerde S. 18-24).</w:t>
      </w:r>
    </w:p>
    <w:p>
      <w:r>
        <w:rPr>
          <w:b/>
        </w:rPr>
        <w:t>E. 3.2</w:t>
      </w:r>
    </w:p>
    <w:p>
      <w:r>
        <w:t>Die Vorinstanz verneint das Vorliegen eines schweren persönlichen Härtefalls. Sie hält fest, der Beschwerdeführer sei in Ägypten geboren, habe da die Schulen besucht, ein Studium als Sportlehrer absolviert und an einer spezialisierten Schule ein Diplom im Bereich Wellness sowie Massage erlangt. Die Muttersprache des Beschwerdeführers sei Arabisch, wobei er zwischenzeitlich über gute Deutschkenntnisse verfüge. Als 25-Jähriger sei er im Sommer 2012 erstmals in die Schweiz gekommen. Am 10. Juni 2013 habe er die Beschwerdegegnerin 3 geheiratet. Die kinderlose Ehe sei im Sommer 2017 geschieden worden. Seit Anfang 2017 sei der Beschwerdeführer mit E.________ liiert, welche er am 20. Juli 2018 geheiratet habe. Anlässlich der vorinstanzlichen Verhandlung habe der Beschwerdeführer bestätigt, dass seine Ehefrau im vierten Monat schwanger sei. Aktuell gehe er keiner Arbeitstätigkeit nach. Sein Heimatland habe er letztmals im April 2019 besucht. In der Schweiz verfüge der Beschwerdeführer nicht über viele Bekannte oder einen Freundeskreis. Mit seinen Freunden in Ägypten stehe er in Kontakt und seine Verwandtschaft lebe dort. Der Beschwerdeführer sei nicht vorbestraft. Die Vorinstanz gelangt zum Schluss, beim Beschwerdeführer liege eindeutig kein schwerer persönlicher Härtefall vor. Daran vermöge auch die Schwangerschaft seiner jetzigen Ehefrau nichts zu ändern (Urteil S. 67 f. E. 43).</w:t>
      </w:r>
    </w:p>
    <w:p>
      <w:r>
        <w:rPr>
          <w:b/>
        </w:rPr>
        <w:t>E. 3.3</w:t>
      </w:r>
    </w:p>
    <w:p>
      <w:r>
        <w:t>Katalogtaten gemäss Art. 66a Abs. 1 StGB liegen in casu vor.</w:t>
      </w:r>
    </w:p>
    <w:p>
      <w:r>
        <w:t>Teilweise weicht der Beschwerdeführer von den tatsächlichen Feststellungen der Vorinstanz ab oder ergänzt sie. Entgegen seiner diesbezüglich qualifizierten Rügepflicht beschränkt er sich dabei darauf ( Art. 106 Abs. 2 BGG ; BGE 143 IV 500 E. 1.1; 142 II 206 E. 2.5; je mit Hinweisen), den vorinstanzlichen Ausführungen einzig seine Sicht der Dinge entgegenzustellen. Auf solch appellatorische Ausführungen geht das Bundesgericht nicht ein (E. 1.2 vorstehend).</w:t>
      </w:r>
    </w:p>
    <w:p>
      <w:r>
        <w:rPr>
          <w:b/>
        </w:rPr>
        <w:t>E. 3.4.1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sowie die Aufenthaltsdauer und Resozialisierungschancen. Ebenso ist der Rückfallgefahr und wiederholten Delinquenz Rechnung zu tragen (Urteil 6B_708/2020 vom 11. März 2021 E. 5.3). Die Härtefallprüfung ist in jedem Fall anhand der gängigen Integrationskriterien vorzunehmen ( BGE 146 IV 105 E. 3.4.4; Urteile 6B_1428/2020 vom 19. April 2021 E. 2.6.1; 6B_1424/2019 vom 15. September 2020 E. 3.4.1; je mit Hinweisen), wobei die intendierte "massive Verschärfung" ( BGE 145 IV 55 E. 4.3) des Ausweisungsrechts nicht aus dem Auge zu verlieren ist ( BGE 144 IV 332 E. 3.3.1 und E. 3.3.3; Urteil 6B_1424/2019 vom 15. September 2020 E. 3.4.1).</w:t>
      </w:r>
    </w:p>
    <w:p>
      <w:r>
        <w:t>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6B_1194/2020 vom 8. Februar 2021 E. 1.1; 6B_587/2020 vom 12. Oktober 2020 E. 2.1.1; je mit Hinweisen).</w:t>
      </w:r>
    </w:p>
    <w:p>
      <w:r>
        <w:rPr>
          <w:b/>
        </w:rPr>
        <w:t>E. 3.4.2</w:t>
      </w:r>
    </w:p>
    <w:p>
      <w:r>
        <w:t>Das durch Art. 13 f.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Unter dem Gesichtswinkel des Schutzes des Anspruchs auf Familienleben genügt es nach den Umständen, dass der Kontakt zum Kind im Rahmen von Kurzaufenthalten, Ferienbesuchen oder über die modernen Kommunikationsmittel vom Ausland her wahrgenommen werden kann ( BGE 143 I 21 E. 5.3; Urteil 6B_1314/2019 vom 9. März 2020 E. 2.3.7; je mit Hinweisen). Zum geschützten Familienkreis gehört in erster Linie die Kernfamilie, d.h. die Gemeinschaft der Ehegatten mit ihren minderjährigen Kindern. Das Verhältnis zwischen Eltern und ihren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144 II 1 E. 6.1; Urteile 6B_1428/2020 vom 19. April 2021 E. 2.4.3; 6B_587/2020 vom 12. Oktober 2020 E. 2.1.2;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6B_587/2020 vom 12. Oktober 2020 E. 2.1.2; 6B_396/2020 vom 11. August 2020 E. 2.4.4; je mit Hinweisen).</w:t>
      </w:r>
    </w:p>
    <w:p>
      <w:r>
        <w:t>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Schweiz vom 8. Dezember 2020, Nr. 59006/18, Ziff. 49-51; Urteil 6B_535/2021 vom 14. Juli 2021 E. 4.3.2; je mit Hinweisen).</w:t>
      </w:r>
    </w:p>
    <w:p>
      <w:r>
        <w:rPr>
          <w:b/>
        </w:rPr>
        <w:t>E. 3.5</w:t>
      </w:r>
    </w:p>
    <w:p>
      <w:r>
        <w:t>Die Rügen des Beschwerdeführers erweisen sich als unbegründet, soweit darauf überhaupt eingetreten werden kann. Der Beschwerdeführer wanderte als Erwachsener in die Schweiz ein. Er hat die prägenden Kindes- sowie Jugendjahre in Ägypten verbracht und ist mit der dortigen Sprache und Kultur vertraut. Dort wohnen seine Freunde sowie seine Verwandtschaft, unter anderem seine Eltern und seine drei jüngeren Brüder. Im Lichte der vorliegenden Umstände ist es nicht zu beanstanden, dass die Vorinstanz zum Schluss gelangt, eine Wiedereingliederung des Beschwerdeführers in seinem Heimatland sei möglich. Aus dem Umstand, dass er sich bereits seit Längerem in der Schweiz aufhält, lässt sich noch kein für die Annahme eines Härtefalls genügend gewichtiges persönliches Interesse an einem Verbleib in der Schweiz ableiten ( BGE 146 IV 105 E. 3.4.4).</w:t>
      </w:r>
    </w:p>
    <w:p>
      <w:r>
        <w:t>Der Beschwerdeführer stellt sodann nicht in Abrede, dass seine Ehefrau im Zeitpunkt der vorinstanzlichen Verhandlung im vierten Monat schwanger war (Urteil S. 67 E. 43). Soweit er in Bezug auf die familiären Verhältnisse geltend macht, er werde in den kommenden Wochen zum ersten Mal Vater, verkennt er, dass echte Noven, d.h. Tatsachen oder Beweismittel, die sich auf das vorinstanzliche Prozessthema beziehen, sich jedoch erst zugetragen haben oder entstanden sind, nachdem vor der Vorinstanz keine neuen Tatsachen und Beweismittel mehr vorgetragen werden konnten, im Verfahren vor dem Bundesgericht unbeachtlich sind ( Art. 99 Abs. 1 BGG ; BGE 143 V 19 E. 1.2; 140 V 543 E. 3.2.2.2; Urteile 6B_460/2021 vom 9. Juni 2021 E. 5.3; 6B_4/2021 vom 2. Juni 2021 E. 3.1). Im Übrigen weist die Vorinstanz zu Recht darauf hin, dass der Beschwerdeführer vom erstinstanzlichen Urteil und der darin ausgesprochenen Landesverweisung bereits Kenntnis hatte, als seine Ehefrau schwanger wurde. Mithin wusste er um die ihm drohende Landesverweisung (Urteil S. 68 E. 43). Zutreffend erwägt die Vorinstanz weiter, vorliegend würden keine grund- und menschenrechtlichen Bestimmungen dem Aussprechen einer Landesverweisung im Zusammenhang mit der begangenen, verschuldensmässig erheblich wiegenden sexuellen Nötigung entgegen stehen, zumal der Beschwerdeführer noch kinderlos sei und er im Wissen um die drohende Landesverweisung am 20. Juli 2018 seine jetzige Ehefrau geheiratet habe (Urteil S. 68 E. 43). Schliesslich ist darauf hinzuweisen, dass das Familienleben in zumutbarer Weise durch Besuche seiner Ehefrau und seines Kindes in Ägypten, das mit dem Flugzeug aus der Schweiz gut erreichbar ist, und mittels moderner Kommunikationsmittel gelebt werden kann.</w:t>
      </w:r>
    </w:p>
    <w:p>
      <w:r>
        <w:t>Nachdem die Vorinstanz zu Recht einen schweren persönlichen Härtefall im Sinne von Art. 66a Abs. 2 StGB verneint, erübrigt es sich, die Interessenabwägung nach Massgabe der öffentlichen Interessen an der Landesverweisung vorzunehmen. Insgesamt prüft die Vorinstanz die Landesverweisung nach den massgebenden Kriterien und begründet nachvollziehbar, weshalb sie einen Härtefall verneint. Es kann auf ihre zutreffenden Erwägungen verwiesen werden. In Würdigung der gesamten Umstände überschreitet die Vorinstanz das ihr zustehende Ermessen nicht und verletzt weder Bundes-, noch Verfassungs- oder Konventionsrecht. Die Landesverweisung des Beschwerdeführers erweist sich mithin als rechtskonform.</w:t>
      </w:r>
    </w:p>
    <w:p>
      <w:r>
        <w:rPr>
          <w:b/>
        </w:rPr>
        <w:t>E. 4</w:t>
      </w:r>
    </w:p>
    <w:p>
      <w:r>
        <w:t>Soweit der Beschwerdeführer darum ersucht, die gesamten vorinstanzlichen Verfahrenskosten seien der Vorinstanz resp. dem Kanton Bern aufzuerlegen (Beschwerde S. 3), kann darauf nicht eingetreten werden. Er begründet dies alleine mit dem von ihm beantragten Verfahrensausgang (Beschwerde S. 24).</w:t>
      </w:r>
    </w:p>
    <w:p>
      <w:r>
        <w:rPr>
          <w:b/>
        </w:rPr>
        <w:t>E. 5</w:t>
      </w:r>
    </w:p>
    <w:p>
      <w:r>
        <w:t>Die Beschwerde ist abzuweisen, soweit darauf eingetreten werden kann. Die Gerichtskosten sind dem Beschwerdeführer aufzuerlegen ( Art. 66 Abs. 1 BGG ). Den Beschwerdegegnerinnen 2 und 3 ist keine Entschädigung zuzusprechen, da sie nicht zur Stellungnahme aufgefordert wurden und im bundesgerichtlichen Verfahren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