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6B_658/2016 vom 15. Juni 2016</w:t>
      </w:r>
    </w:p>
    <w:p>
      <w:r>
        <w:t>Bundesgericht, 2016-06-15, FR</w:t>
      </w:r>
    </w:p>
    <w:p>
      <w:r>
        <w:rPr>
          <w:b/>
        </w:rPr>
        <w:t xml:space="preserve">Quelle: </w:t>
      </w:r>
      <w:r>
        <w:t>https://mcp.opencaselaw.ch/entscheid/bger_6B_658_2016</w:t>
      </w:r>
    </w:p>
    <w:p>
      <w:r>
        <w:t>FR: TF 6B_658/2016 du 15 juin 2016</w:t>
      </w:r>
    </w:p>
    <w:p>
      <w:r>
        <w:t>IT: TF 6B_658/2016 del 15 giugno 2016</w:t>
      </w:r>
    </w:p>
    <w:p>
      <w:pPr>
        <w:pStyle w:val="Heading2"/>
      </w:pPr>
      <w:r>
        <w:t>Erwägungen</w:t>
      </w:r>
    </w:p>
    <w:p>
      <w:r>
        <w:rPr>
          <w:b/>
        </w:rPr>
        <w:t>E. 1</w:t>
      </w:r>
    </w:p>
    <w:p>
      <w:r>
        <w:t>Par arrêt du 26 mars 2016, la Chambre des recours pénale du Tribunal cantonal vaudois a rejeté le recours de X.________ et confirmé l'ordonnance de classement rendue le 22 janvier 2016 sur sa plainte contre Y.________ pour calomnie, subsidiairement diffamation, à la suite du courrier que celui-ci a adressé le 2 avril 2014 à l'Office régional de protection des mineurs de B.________ aux fins d'attirer l'attention du service sur la situation de la fille de la plaignante, A.________, née en 1998. X.________ interjette un recours en matière pénale au Tribunal fédéral contre l'arrêt cantonal, dont elle réclame l'annulation en concluant principalement au renvoi de la cause. Dans ce contexte, elle requiert le bénéfice de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La recourante invoque à titre de dommage la somme de 7'307 fr. 60 correspondant à la moitié des frais d'avocat qu'elle a encourus dans la procédure civile l'ayant opposée au Service de protection de la jeunesse, au cours de laquelle ce dernier se serait prétendument fondé notamment sur les déclarations de Y.________ pour soutenir devant la Justice de paix que X.________ mettait en péril le bien-être de sa fille et que le droit de garde sur celle-ci devait lui être retiré.</w:t>
      </w:r>
    </w:p>
    <w:p>
      <w:r>
        <w:t>La recourante ne saurait se prévaloir, comme elle le fait, de prétentions en dommages et intérêts tenant au coût des démarches judiciaires qu'elle a dû entreprendre en relation avec les infractions énoncées. Le coût de telles démarches ne saurait constituer une prétention civile au sens de l' art. 81 al. 1 a et b ch. 5 LTF . En effet, admettre un droit de recours à raison d'une telle prétention permettrait de contourner systématiquement la règle de l'art. 81 al. 1 let. a et b ch. 5 LTF indépendamment des prétentions de fond que la partie plaignante entend élever (arrêt 6B_768/2013 du 12 novembre 2013 consid. 1.3). A défaut de faire valoir des prétentions civiles, elle n'a pas qualité pour recourir sur le fond de la cause.</w:t>
      </w:r>
    </w:p>
    <w:p>
      <w:r>
        <w:rPr>
          <w:b/>
        </w:rPr>
        <w:t>E. 2.2</w:t>
      </w:r>
    </w:p>
    <w:p>
      <w:r>
        <w:t>L'hypothèse visée à l'art. 81 al. 1 let. b ch. 6 LTF n'entre pas en considération, la contestation ne portant pas sur le droit de porter plainte de la recourante.</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3</w:t>
      </w:r>
    </w:p>
    <w:p>
      <w:r>
        <w:t>Sur le vu de ce qui précède, le recours doit être déclaré irrecevable selon la procédure simplifiée prévue par l' art. 108 al. 1 let. a et b LTF . Comme les conclusions de celui-ci étaient dépourvues de chance de succès, l'assistance judiciaire ne peut être accordée ( art. 64 al. 1 LTF ). La recourante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