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6B_649/2021 vom 25. August 2021</w:t>
      </w:r>
    </w:p>
    <w:p>
      <w:r>
        <w:t>Bundesgericht, 2021-08-25, DE</w:t>
      </w:r>
    </w:p>
    <w:p>
      <w:r>
        <w:rPr>
          <w:b/>
        </w:rPr>
        <w:t xml:space="preserve">Quelle: </w:t>
      </w:r>
      <w:r>
        <w:t>https://mcp.opencaselaw.ch/entscheid/bger_6B_649_2021</w:t>
      </w:r>
    </w:p>
    <w:p>
      <w:r>
        <w:t>FR: TF 6B_649/2021 du 25 août 2021</w:t>
      </w:r>
    </w:p>
    <w:p>
      <w:r>
        <w:t>IT: TF 6B_649/2021 del 25 agosto 2021</w:t>
      </w:r>
    </w:p>
    <w:p>
      <w:pPr>
        <w:pStyle w:val="Heading2"/>
      </w:pPr>
      <w:r>
        <w:t>Erwägungen</w:t>
      </w:r>
    </w:p>
    <w:p>
      <w:r>
        <w:rPr>
          <w:b/>
        </w:rPr>
        <w:t>E. 1</w:t>
      </w:r>
    </w:p>
    <w:p>
      <w:r>
        <w:t>Der Beschwerdeführer wendet sich gegen den vorinstanzlichen Schluss, dass seine Einsprache gegen den Strafbefehl als zurückgezogen gilt, weil er trotz ordnungsgemässer Vorladung der Einvernahme als beschuldigte Person unentschuldigt fernblieb.</w:t>
      </w:r>
    </w:p>
    <w:p>
      <w:r>
        <w:rPr>
          <w:b/>
        </w:rPr>
        <w:t>E. 1.1</w:t>
      </w:r>
    </w:p>
    <w:p>
      <w:r>
        <w:t>Das Übertretungsstrafverfahren richtet sich sinngemäss nach den Vorschriften über das Strafbefehlsverfahren ( Art. 357 Abs. 2 StPO ).</w:t>
      </w:r>
    </w:p>
    <w:p>
      <w:r>
        <w:t>Gegen den Strafbefehl kann die beschuldigte Person bei der Staatsanwaltschaft innert 10 Tagen schriftlich Einsprache erheben ( Art. 354 Abs. 1 lit. a StPO ). Ohne gültige Einsprache wird der Strafbefehl zum rechtskräftigen Urteil ( Art. 354 Abs. 3 StPO ).</w:t>
      </w:r>
    </w:p>
    <w:p>
      <w:r>
        <w:t>Wird Einsprache erhoben, so nimmt die Übertretungsstrafbehörde die weiteren Beweise ab, die zur Beurteilung der Einsprache erforderlich sind ( Art. 355 Abs. 1 StPO ). Bleibt eine Einsprache erhebende Person trotz Vorladung einer Einvernahme unentschuldigt fern, so gilt ihre Einsprache als zurückgezogen ( Art. 355 Abs. 2 StPO ).</w:t>
      </w:r>
    </w:p>
    <w:p>
      <w:r>
        <w:t>Die gesetzliche Rückzugsfiktion setzt nach der Rechtsprechung voraus, dass die beschuldigte Person effektiv Kenntnis von der Vorladung und der Pflicht zum persönlichen Erscheinen hat und dass sie hinreichend über die Folgen des unentschuldigten Fernbleibens in einer ihr verständlichen Weise belehrt wurde ( BGE 146 IV 286 E. 2.2, 30 E. 1.1.1; 142 IV 158 E. 3.1; 140 IV 82 E. 2.5 und 2.7). Vorbehalten bleiben Fälle rechtsmissbräuchlichen Verhaltens ( BGE 146 IV 30 E. 1.1.1 in fine; 140 IV 82 E. 2.7; Urteil 6B_328/2020 vom 20. Mai 2021 E. 2.2.1). Die Rückzugsfiktion kann zudem nur zum Tragen kommen, wenn aus dem unentschuldigten Fernbleiben nach Treu und Glauben auf ein Desinteresse am weiteren Gang des Strafverfahrens geschlossen werden kann (Urteil 6B_152/2013 vom 27. Mai 2013 E. 4.5.4, in: Pra 2013 Nr. 99 S. 763; bestätigt in BGE 142 IV 158 E. 3.1; 140 IV 86 E. 2.6; 140 IV 82 E. 2.3).</w:t>
      </w:r>
    </w:p>
    <w:p>
      <w:r>
        <w:rPr>
          <w:b/>
        </w:rPr>
        <w:t>E. 1.2</w:t>
      </w:r>
    </w:p>
    <w:p>
      <w:r>
        <w:t>Der Beschwerdeführer macht geltend, seine Rechtsvertretung habe vor Ort ausgerichtet, er habe die Vorladung nicht erhalten. Auch sei er aufgrund eines Missverständnisses davon ausgegangen, die Vorladung beziehe sich auf die Einvernahme des Geschädigten. Aus seinem gesamten Verhalten dürfe nicht auf ein Desinteresse am weiteren Gang des Strafverfahrens geschlossen werden. Seine Rechtsvertretung habe noch am 12. August 2020 mündlich und schriftlich erklärt, es bestehe kein Rückzugswille.</w:t>
      </w:r>
    </w:p>
    <w:p>
      <w:r>
        <w:rPr>
          <w:b/>
        </w:rPr>
        <w:t>E. 1.3</w:t>
      </w:r>
    </w:p>
    <w:p>
      <w:r>
        <w:t>Die Rügen des Beschwerdeführers sind unbegründet.</w:t>
      </w:r>
    </w:p>
    <w:p>
      <w:r>
        <w:rPr>
          <w:b/>
        </w:rPr>
        <w:t>E. 1.3.1</w:t>
      </w:r>
    </w:p>
    <w:p>
      <w:r>
        <w:t>Die Vorinstanz erwägt, entgegen seiner ursprünglichen Darstellung habe der Beschwerdeführer die Vorladung für die Einvernahme vom 12. August 2020 persönlich entgegengenommen. Auf der ersten Seite dieser Vorladung werde mit Fettdruck darauf hingewiesen, dass der Beschwerdeführer zum persönlichen Erscheinen verpflichtet ist und unentschuldigtes Nichterscheinen als Rückzug der Einsprache gilt. Der Beschwerdeführer war ein 22-jähriger Gymnasiast, als er die Vorladung entgegennahm. Wie die Vorinstanz zutreffend ausführt, wurde der Beschwerdeführer in einer ihm verständlichen Weise hinreichend über seine Erscheinungspflicht und die Folgen des unentschuldigten Fernbleibens belehrt. Sollte der Beschwerdeführer keine Kenntnis von den Säumnisfolgen gehabt haben, dann läge dies in seiner alleinigen Verantwortung.</w:t>
      </w:r>
    </w:p>
    <w:p>
      <w:r>
        <w:rPr>
          <w:b/>
        </w:rPr>
        <w:t>E. 1.3.2</w:t>
      </w:r>
    </w:p>
    <w:p>
      <w:r>
        <w:t>Es ist nicht zu beanstanden, wenn die Vorinstanz erwägt, der Beschwerdeführer habe Anlass gehabt, die Vorladung genau durchzulesen und auf geeignete Weise sicherzustellen, dass er den Termin einhalten kann. In der Tat hat der Beschwerdeführer selbst zu verantworten, dass er die Vorladung - gemäss eigenen Angaben - nicht genauer studierte und deshalb auch die Säumnisfolgen nicht kannte. Er macht keine hinreichenden objektiven oder subjektiven Gründe für sein Fernbleiben geltend und solche Gründe sind auch nicht ersichtlich. Die Vorinstanz weist überzeugend darauf hin, dass sich der Beschwerdeführer ohne Nennung von Gründen auch nicht durch seine Rechtsvertretung entschuldigen lassen konnte. Angesichts der klar und einfach formulierten Säumnisfolgen erachtet es die Vorinstanz zu Recht als unerfindlich, inwiefern ein entschuldbares Missverständnis zwischen dem Beschwerdeführer und seiner Rechtsvertretung vorliegen sollte.</w:t>
      </w:r>
    </w:p>
    <w:p>
      <w:r>
        <w:rPr>
          <w:b/>
        </w:rPr>
        <w:t>E. 1.3.3</w:t>
      </w:r>
    </w:p>
    <w:p>
      <w:r>
        <w:t>Es trifft zu, dass die Rechtsvertretung des Beschwerdeführers gegenüber der fallführenden Stadtrichterin explizit erklärte, es bestehe kein Wille zum Rückzug der Einsprache. Allerdings steht dies, wie die Vorinstanz überzeugend darlegt, im Widerspruch zum tatsächlichen Verhalten des Beschwerdeführers. Die beschuldigte Person, deren Verhalten nach dem Grundsatz von Treu und Glauben auf ein Desinteresse schliessen lässt, kann sich nicht auf ihren Willen zur Fortführung des Verfahrens berufen, liegt doch darin ein widersprüchliches und damit nicht schützenswertes Verhalten.</w:t>
      </w:r>
    </w:p>
    <w:p>
      <w:r>
        <w:rPr>
          <w:b/>
        </w:rPr>
        <w:t>E. 1.3.4</w:t>
      </w:r>
    </w:p>
    <w:p>
      <w:r>
        <w:t>Der Beschwerdeführer machte geltend, der Geschädigte sei am 12. August 2020 verhindert gewesen. Die Vorinstanz verwirft auch dieses Argument überzeugend, indem sie darauf hinweist, dass der Geschädigte auf die Teilnahme an der Einvernahme des Beschwerdeführers verzichtete, weshalb dieser nichts im Wege gestanden wäre.</w:t>
      </w:r>
    </w:p>
    <w:p>
      <w:r>
        <w:rPr>
          <w:b/>
        </w:rPr>
        <w:t>E. 1.4</w:t>
      </w:r>
    </w:p>
    <w:p>
      <w:r>
        <w:t>Zusammenfassend verletzt es kein Bundesrecht, wenn die Vorinstanz darauf schliesst, der Beschwerdeführer habe sein Desinteresse am ordentlichen Gang des Verfahrens manifestiert oder doch zumindest die Säumnisfolge von Art. 355 Abs. 2 StPO in Kauf genommen.</w:t>
      </w:r>
    </w:p>
    <w:p>
      <w:r>
        <w:rPr>
          <w:b/>
        </w:rPr>
        <w:t>E. 2</w:t>
      </w:r>
    </w:p>
    <w:p>
      <w:r>
        <w:t>Die Beschwerde ist abzuweisen.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