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649/2016 vom 9. März 2017</w:t>
      </w:r>
    </w:p>
    <w:p>
      <w:r>
        <w:t>Bundesgericht, 2017-03-09, DE</w:t>
      </w:r>
    </w:p>
    <w:p>
      <w:r>
        <w:rPr>
          <w:b/>
        </w:rPr>
        <w:t xml:space="preserve">Quelle: </w:t>
      </w:r>
      <w:r>
        <w:t>https://mcp.opencaselaw.ch/entscheid/bger_6B_649_2016</w:t>
      </w:r>
    </w:p>
    <w:p>
      <w:r>
        <w:t>FR: TF 6B 649/2016 du 9 mars 2017</w:t>
      </w:r>
    </w:p>
    <w:p>
      <w:r>
        <w:t>IT: TF 6B 649/2016 del 9 marzo 2017</w:t>
      </w:r>
    </w:p>
    <w:p>
      <w:pPr>
        <w:pStyle w:val="Heading2"/>
      </w:pPr>
      <w:r>
        <w:t>Regeste</w:t>
      </w:r>
    </w:p>
    <w:p>
      <w:r>
        <w:t>Willkür (versuchte schwere Körperverletzung); Notwehr | Straftaten</w:t>
      </w:r>
    </w:p>
    <w:p>
      <w:pPr>
        <w:pStyle w:val="Heading2"/>
      </w:pPr>
      <w:r>
        <w:t>Erwägungen</w:t>
      </w:r>
    </w:p>
    <w:p>
      <w:r>
        <w:rPr>
          <w:b/>
        </w:rPr>
        <w:t>E. 1</w:t>
      </w:r>
    </w:p>
    <w:p>
      <w:r>
        <w:t>Am 1. August 2009 kam es zwischen A.________ und X.________ zu einer tätlichen Auseinandersetzung. Das Obergericht des Kantons Zürich sprach X.________ am 12. Februar 2016 im mündlichen Berufungsverfahren vom Vorwurf der versuchten schweren Körperverletzung frei und verwies die Schadenersatz- und Genugtuungsforderungen des Privatklägers A.________ auf den Zivilweg.</w:t>
      </w:r>
    </w:p>
    <w:p>
      <w:r>
        <w:rPr>
          <w:b/>
        </w:rPr>
        <w:t>E. 2</w:t>
      </w:r>
    </w:p>
    <w:p>
      <w:r>
        <w:t>A.________ führt Beschwerde in Strafsachen und beantragt, das Urteil des Obergerichts sei aufzuheben und das Urteil des Bezirksgerichts Meilen vom 17. Juni 2015 zu bestätigen. Der Beschwerde sei die aufschiebende Wirkung zu gewähren. A.________ ersucht um unentgeltliche Rechtspflege. Der Beschwerdeführer rügt eine willkürliche Sachverhaltsfeststellung und eine bundesrechtswidrige Anwendung von Art. 15 und Art. 16 StGB . Gemäss übereinstimmender Aussagen verschiedener Zeugen habe der Beschwerdeführer nur schlichtend im Streit zwischen dem Beschwerdegegner und dessen Ehefrau intervenieren wollen. Die vorinstanzliche Feststellung eines Angriffs des Beschwerdeführers sei demnach tatsachenwidrig. Zudem habe der Beschwerdegegner sich bereit erklärt, die Kosten der Ersatzbrille des Beschwerdeführers seiner Haftpflichtversicherung als Schaden zu melden. Damit habe der anerkannt, für den Schaden verantwortlich zu sein, weshalb er sich nicht auf Notwehr berufen könne.</w:t>
      </w:r>
    </w:p>
    <w:p>
      <w:r>
        <w:rPr>
          <w:b/>
        </w:rPr>
        <w:t>E. 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vgl. zum Begriff der Willkür BGE 141 IV 249 E. 1.3.1; je mit Hinweisen). Für die Anfechtung des Sachverhalts gelten qualifizierte Begründungsanforderungen (Art. 42 Abs. 2 i.V.m. Art. 97 Abs. 1 und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genügt für die Annahme von Willkür nicht ( BGE 138 I 305 E. 4.3 mit Hinweisen). Auf ungenügend begründete Rügen oder bloss allgemein gehaltene appellatorische Kritik am angefochtenen Entscheid tritt das Bundesgericht nicht ein ( BGE 141 IV 249 E. 1.3.1 mit Hinweisen).</w:t>
      </w:r>
    </w:p>
    <w:p>
      <w:r>
        <w:rPr>
          <w:b/>
        </w:rPr>
        <w:t>E. 4</w:t>
      </w:r>
    </w:p>
    <w:p>
      <w:r>
        <w:t>Die Rügen erweisen sich im Ergebnis als unbegründet, soweit sie überhaupt den gesetzlichen Begründungsanforderungen genügen. Der Beschwerdeführer setzt sich mit der vorinstanzlichen Beweiswürdigung nicht auseinander, sondern begnügt sich damit, selektiv Fragmente verschiedener Einvernahmen wiederzugeben. Inwieweit sich aufgrund der zitierten Passagen andere Schlussfolgerungen geradezu aufdrängen und die Sachverhaltsfeststellungen der Vorinstanz schlechterdings unhaltbar sein sollen, legt der Beschwerdeführer nicht dar und ist auch nicht ersichtlich. Dass der Beschwerdegegner sich bereit erklärt hat, die Kosten für die Ersatzbrille des Beschwerdeführers seiner Haftpflichtversicherung als Schaden zu melden, musste die Vorinstanz nicht als Eingeständnis eines strafbaren Verhaltens werten. Der Beschwerdeführer legt seinen rechtlichen Ausführungen, die Vorinstanz bejahe zu Unrecht eine Notwehrsituation des Beschwerdegegners, einen von den verbindlichen Sachverhaltsfeststellungen abweichenden Geschehensablauf zugrunde. Die Rügen sind demnach nicht weiter zu behandeln.</w:t>
      </w:r>
    </w:p>
    <w:p>
      <w:r>
        <w:rPr>
          <w:b/>
        </w:rPr>
        <w:t>E. 5</w:t>
      </w:r>
    </w:p>
    <w:p>
      <w:r>
        <w:t>Die Beschwerde ist im Verfahren gemäss Art. 109 BGG abzuweisen, soweit darauf eingetreten werden kann. Mit dem Entscheid in der Sache wird das Gesuch um aufschiebende Wirkung der Beschwerde gegenstandslos. Das Gesuch um unentgeltliche Rechtspflege und Verbeiständung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