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648/2008 vom 2. September 2008</w:t>
      </w:r>
    </w:p>
    <w:p>
      <w:r>
        <w:t>Bundesgericht, 2008-09-02, FR</w:t>
      </w:r>
    </w:p>
    <w:p>
      <w:r>
        <w:rPr>
          <w:b/>
        </w:rPr>
        <w:t xml:space="preserve">Quelle: </w:t>
      </w:r>
      <w:r>
        <w:t>https://mcp.opencaselaw.ch/entscheid/bger_6B_648_2008</w:t>
      </w:r>
    </w:p>
    <w:p>
      <w:r>
        <w:t>FR: TF 6B 648/2008 du 2 septembre 2008</w:t>
      </w:r>
    </w:p>
    <w:p>
      <w:r>
        <w:t>IT: TF 6B 648/2008 del 2 settembre 2008</w:t>
      </w:r>
    </w:p>
    <w:p>
      <w:pPr>
        <w:pStyle w:val="Heading2"/>
      </w:pPr>
      <w:r>
        <w:t>Regeste</w:t>
      </w:r>
    </w:p>
    <w:p>
      <w:r>
        <w:t>Internement | Exécution des peines et des mesures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28 juin 2008 et déposé dans un bureau de poste le 8 juillet 2008, X.________ recourt contre un arrêt cantonal vaudois le concernant. Conformément à l' art. 42 al. 3 et 5 LTF , le président de la cour de céans lui a, par ordonnance du 9 juillet 2008, imparti un délai au 18 août 2008 pour produire l'arrêt attaqué, en lui précisant qu'à ce défaut, son mémoire ne serait pas pris en considération. X.________ n'a pas donné suite à cette ordonnance. Son recours doit dès lors être déclaré irrecevable ( art. 108 al. 1 let. a LTF ).</w:t>
      </w:r>
    </w:p>
    <w:p>
      <w:r>
        <w:rPr>
          <w:b/>
        </w:rPr>
        <w:t>E. 2</w:t>
      </w:r>
    </w:p>
    <w:p>
      <w:r>
        <w:t>Le recourant, qui succombe, doit supporter les frais de justice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