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646/2010 vom 23. August 2010</w:t>
      </w:r>
    </w:p>
    <w:p>
      <w:r>
        <w:t>Bundesgericht, 2010-08-23, DE</w:t>
      </w:r>
    </w:p>
    <w:p>
      <w:r>
        <w:rPr>
          <w:b/>
        </w:rPr>
        <w:t xml:space="preserve">Quelle: </w:t>
      </w:r>
      <w:r>
        <w:t>https://mcp.opencaselaw.ch/entscheid/bger_6B_646_2010</w:t>
      </w:r>
    </w:p>
    <w:p>
      <w:r>
        <w:t>FR: TF 6B 646/2010 du 23 août 2010</w:t>
      </w:r>
    </w:p>
    <w:p>
      <w:r>
        <w:t>IT: TF 6B 646/2010 del 23 agosto 2010</w:t>
      </w:r>
    </w:p>
    <w:p>
      <w:pPr>
        <w:pStyle w:val="Heading2"/>
      </w:pPr>
      <w:r>
        <w:t>Regeste</w:t>
      </w:r>
    </w:p>
    <w:p>
      <w:r>
        <w:t>Disziplinarstrafe | Straf- und Massnahmenvollzug</w:t>
      </w:r>
    </w:p>
    <w:p>
      <w:pPr>
        <w:pStyle w:val="Heading2"/>
      </w:pPr>
      <w:r>
        <w:t>Erwägungen</w:t>
      </w:r>
    </w:p>
    <w:p>
      <w:r>
        <w:rPr>
          <w:b/>
        </w:rPr>
        <w:t>E. 1</w:t>
      </w:r>
    </w:p>
    <w:p>
      <w:r>
        <w:t>Der Beschwerdeführer befindet sich in der Strafanstalt Pöschwies im Strafvollzug. Bei einem Mitinsassen wurde im Januar 2010 ein Handy konfisziert. Die Auswertung der SIM-Karte ergab, dass diese von der Ehefrau des Beschwerdeführers eingelöst worden war. Die Ehefrau soll die Karte einem Besucher übergeben haben, welcher die Karte seinerseits bei einem Besuch in Pöschwies einem Mitinsassen des Beschwerdeführers gegeben habe. Hierauf habe der Beschwerdeführer die Karte erhalten. Den Mitinsassen habe er mit Fr. 40.-- angestiftet (angefochtener Entscheid S. 4 E. 3.1). Der Beschwerdeführer wurde disziplinarisch mit sieben Tagen Arrest und einer Besuchssperre von einem Monat bestraft, Der Beschwerdeführer bemängelt den Sachverhalt, von dem die kantonalen Instanzen ausgegangen sind. Der Sachverhalt kann vor Bundesgericht indessen mit Erfolg nur angefochten werden, wenn die kantonalen Instanzen ihn offensichtlich unrichtig im Sinne von Art. 97 Abs. 1 BGG bzw. willkürlich im Sinne von Art. 9 BV festgestellt haben. Willkür liegt vor, wenn der angefochtene Entscheid offensichtlich unhaltbar ist oder mit der tatsächlichen Situation in klarem Widerspruch steht ( BGE 134 I 140 E. 5.4). Die Rüge der Willkür muss vor Bundesgericht präzise vorgebracht und begründet werden, ansonsten darauf nicht eingetreten werden kann ( Art. 106 Abs. 2 BGG ). Die vorliegende Beschwerde genügt den Voraussetzungen nicht, denn es ist daraus nicht ersichtlich, dass und inwieweit die kantonalen Behörden, die sich ja auf die eigenen Aussagen des Beschwerdeführers stützen konnten (angefochtener Entscheid S. 4 unten), in Willkür im oben umschriebenen Sinn verfallen sein könnten. Auf die Beschwerde ist im Verfahren nach Art. 108 BGG nicht einzutreten.</w:t>
      </w:r>
    </w:p>
    <w:p>
      <w:r>
        <w:rPr>
          <w:b/>
        </w:rPr>
        <w:t>E. 2</w:t>
      </w:r>
    </w:p>
    <w:p>
      <w:r>
        <w:t>Die Gerichtskosten sind dem Beschwerdeführer aufzuerlegen ( Art. 66 Abs. 1 BGG ). Da er sich seit längerer Zeit in Pöschwies befindet (Beschwerde S. 1 unten), ist seinen finanziellen Verhältnissen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