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6B_645/2013 vom 8. November 2013</w:t>
      </w:r>
    </w:p>
    <w:p>
      <w:r>
        <w:t>Bundesgericht, 2013-11-08, FR</w:t>
      </w:r>
    </w:p>
    <w:p>
      <w:r>
        <w:rPr>
          <w:b/>
        </w:rPr>
        <w:t xml:space="preserve">Quelle: </w:t>
      </w:r>
      <w:r>
        <w:t>https://mcp.opencaselaw.ch/entscheid/bger_6B_645_2013</w:t>
      </w:r>
    </w:p>
    <w:p>
      <w:r>
        <w:t>FR: TF 6B_645/2013 du 8 novembre 2013</w:t>
      </w:r>
    </w:p>
    <w:p>
      <w:r>
        <w:t>IT: TF 6B_645/2013 del 8 novembre 2013</w:t>
      </w:r>
    </w:p>
    <w:p>
      <w:pPr>
        <w:pStyle w:val="Heading2"/>
      </w:pPr>
      <w:r>
        <w:t>Erwägungen</w:t>
      </w:r>
    </w:p>
    <w:p>
      <w:r>
        <w:rPr>
          <w:b/>
        </w:rPr>
        <w:t>E. 1</w:t>
      </w:r>
    </w:p>
    <w:p>
      <w:r>
        <w:t>Le recourant critique la mesure de la peine ( art. 47 CP ).</w:t>
      </w:r>
    </w:p>
    <w:p>
      <w:r>
        <w:rPr>
          <w:b/>
        </w:rPr>
        <w:t>E. 1.1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 et 134 IV 17 consid. 2.1).</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1.2</w:t>
      </w:r>
    </w:p>
    <w:p>
      <w:r>
        <w:t>La cour cantonale a admis que la peine privative de liberté de quatorze ans était lourde, mais qu'elle rentrait dans le cadre légal. Elle a mis en relief le jeune âge du recourant comme élément jouant en sa faveur. Elle a retenu en sa défaveur la violence de la bagarre et le nombre de coups de couteau pour un motif parfaitement futile, l'altercation précédente dans la discothèque ne pouvant justifier une telle réaction, l'utilisation d'un couteau commando planté dans le thorax de la victime (même si celui-ci avait été fourni par un tiers), la brièveté de la scène qui montrait une intensité homicide particulière, sans oublier encore l'absence de regrets du recourant, son défaut de collaboration durant l'enquête, les éléments mis en relief par l'expert psychiatre ainsi qu'un antécédent judiciaire pour utilisation d'un faux document d'identité.</w:t>
      </w:r>
    </w:p>
    <w:p>
      <w:r>
        <w:rPr>
          <w:b/>
        </w:rPr>
        <w:t>E. 1.3.1</w:t>
      </w:r>
    </w:p>
    <w:p>
      <w:r>
        <w:t>Le recourant reproche à la cour cantonale d'avoir mal apprécié et mal pondéré le déroulement des faits. En particulier, il relève qu'il s'est retrouvé porteur d'une arme qu'il n'avait pas demandée, quelques secondes à peine avant la reprise d'une altercation qu'il n'avait pas non plus provoquée, voyant soudain la future victime ressortir de la discothèque et s'en prendre immédiatement à l'un de ses accompagnants.</w:t>
      </w:r>
    </w:p>
    <w:p>
      <w:r>
        <w:t>Ces faits n'ont pas été omis par la cour cantonale, qui a retenu qu'en sortant de l'établissement, la future victime s'en était prise à B.________ pour le frapper (jugement attaqué p. 3) et que le couteau commando avait été fourni par un tiers (jugement attaqué p. 13). Les griefs soulevés sont donc mal fondés.</w:t>
      </w:r>
    </w:p>
    <w:p>
      <w:r>
        <w:rPr>
          <w:b/>
        </w:rPr>
        <w:t>E. 1.3.2</w:t>
      </w:r>
    </w:p>
    <w:p>
      <w:r>
        <w:t>Le recourant fait valoir qu'il n'avait pas les ressources suffisantes pour analyser et apprécier comme il se devait la situation en l'espace de quelques secondes et adopter l'attitude qui aurait dû s'imposer à tout homme raisonnable, compte tenu du trouble de la personnalité qu'il présentait (à savoir une personnalité affectivement et intellectuellement fruste, immature, impulsive avec des traits psychopathiques marqués).</w:t>
      </w:r>
    </w:p>
    <w:p>
      <w:r>
        <w:t>Une expertise psychiatrique a été ordonnée, et l'expert, tout en émettant un diagnostic de trouble de la personnalité avec traits psychopathologiques marqués, a conclu à une pleine responsabilité. Il convient dès lors d'admettre que le recourant possédait la faculté d'apprécier le caractère illicite de son acte et de se déterminer d'après cette appréciation. Le grief soulevé est donc infondé.</w:t>
      </w:r>
    </w:p>
    <w:p>
      <w:r>
        <w:rPr>
          <w:b/>
        </w:rPr>
        <w:t>E. 1.3.3</w:t>
      </w:r>
    </w:p>
    <w:p>
      <w:r>
        <w:t>Le recourant reproche à la cour cantonale d'avoir mis en relief la brièveté de la scène pour retenir une intensité homicide particulière, alors qu'en réalité, la brièveté des faits l'aurait empêché de réfléchir aux conséquences de ses actes.</w:t>
      </w:r>
    </w:p>
    <w:p>
      <w:r>
        <w:t>Contrairement à ce que soutient le recourant, c'est à juste titre que la cour cantonale a pris en compte le degré d'intensité qui caractérisait en l'espèce le comportement du recourant, et plus particulièrement le nombre et le degré de violence des coups qu'il a portés à la victime (cf. MICHEL DUPUIS ET AL., Petit commentaire du Code pénal, 2e éd., 2012, n° 19 ad art. 47 CP ). Le grief doit donc être rejeté.</w:t>
      </w:r>
    </w:p>
    <w:p>
      <w:r>
        <w:rPr>
          <w:b/>
        </w:rPr>
        <w:t>E. 1.3.4</w:t>
      </w:r>
    </w:p>
    <w:p>
      <w:r>
        <w:t>Le recourant rappelle l'absence de pratiquement tout antécédent judiciaire et l'absence totale d'antécédents de violence.</w:t>
      </w:r>
    </w:p>
    <w:p>
      <w:r>
        <w:t>La cour cantonale a mentionné un antécédent (faux dans les certificats) et a ajouté qu'il n'y avait pas d'antécédent de violence sanctionné pénalement, mais que le recourant avait fait l'objet d'une décision disciplinaire faisant suite à un coup gratuit donné en détention. Le grief soulevé est donc mal fondé.</w:t>
      </w:r>
    </w:p>
    <w:p>
      <w:r>
        <w:rPr>
          <w:b/>
        </w:rPr>
        <w:t>E. 1.3.5</w:t>
      </w:r>
    </w:p>
    <w:p>
      <w:r>
        <w:t>Le recourant fait valoir une inégalité de traitement à l'égard de C.________, reconnu complice du recourant et condamné à une peine privative de liberté de cinq ans.</w:t>
      </w:r>
    </w:p>
    <w:p>
      <w:r>
        <w:t>Dans l'exercice de son pouvoir d'appréciation, le juge doit respecter, en particulier, le principe d'égalité de traitement ( art. 8 al. 1 Cst ; ATF 120 IV 136 consid. 3a p. 144 et les arrêts cités; cf. aussi ATF 123 IV 49 consid. 2e p. 52 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(cf. ATF 135 IV 191 consid. 3.2 p. 193 ss; ATF 121 IV 202 consid. 2d p. 204 ss). En l'espèce, C.________ a fourni le couteau sans frapper mortellement la victime et a été condamné seulement pour complicité. En outre, même s'il avait des antécédents violents, il était légèrement plus jeune que le recourant et a bénéficié d'une légère diminution de sa responsabilité. La cour cantonale n'a donc pas violé le droit fédéral en le condamnant à une peine nettement inférieure. Le grief soulevé doit être rejeté.</w:t>
      </w:r>
    </w:p>
    <w:p>
      <w:r>
        <w:rPr>
          <w:b/>
        </w:rPr>
        <w:t>E. 1.3.6</w:t>
      </w:r>
    </w:p>
    <w:p>
      <w:r>
        <w:t>Le recourant se plaint également d'une inégalité de traitement en relation avec une autre affaire neuchâteloise. Ainsi, la cour cantonale neuchâteloise avait prononcé une peine de quatorze ans à l'encontre d'un médecin neuchâtelois qui avait abattu son épouse au domicile de cette dernière, après avoir préparé plus de 24 heures à l'avance le matériel nécessaire à commettre l'homicide.</w:t>
      </w:r>
    </w:p>
    <w:p>
      <w:r>
        <w:t>Compte tenu toutefois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p. 142 s. et les arrêts cités; cf. aussi ATF 135 IV 191 consid. 3.1 p. 193 ; 123 IV 49 consid. 2e p. 52 s.). En l'espèce, les quelques éléments présentés par le recourant sur cette autre affaire ne permettent pas de se faire une juste idée sur celle-ci, de sorte que toute comparaison est exclue.</w:t>
      </w:r>
    </w:p>
    <w:p>
      <w:r>
        <w:rPr>
          <w:b/>
        </w:rPr>
        <w:t>E. 1.4</w:t>
      </w:r>
    </w:p>
    <w:p>
      <w:r>
        <w:t>En définitive, la cour cantonale n'a pas omis d'élément important lors de la fixation de la peine et a correctement motivé celle-ci. Il convient encore d'examiner si, au vu des circonstances, la peine infligée apparaît sévère au point de constituer un abus du pouvoir d'appréciation.</w:t>
      </w:r>
    </w:p>
    <w:p>
      <w:r>
        <w:t>Le recourant s'est rendu coupable de rixe et de meurtre, en concours ( art. 49 CP ). En faveur du recourant, il convient de relever son jeune âge. En sa défaveur, il y a lieu de tenir compte de la violence de la bagarre, du motif parfaitement futile de celle-ci, de l'absence de regrets exprimés pendant l'enquête, du défaut de collaboration et des antécédents (infraction pour faux dans les certificats). Au vu de l'ensemble de ces circonstances, la peine privative de liberté de quatorze ans n'est pas sévère, de sorte qu'il faille conclure à un abus du pouvoir d'appréciation accordé à la cour cantonale.</w:t>
      </w:r>
    </w:p>
    <w:p>
      <w:r>
        <w:rPr>
          <w:b/>
        </w:rPr>
        <w:t>E. 2</w:t>
      </w:r>
    </w:p>
    <w:p>
      <w:r>
        <w:t>Le recours doit être ainsi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