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6B_644/2017 vom 16. Mai 2018</w:t>
      </w:r>
    </w:p>
    <w:p>
      <w:r>
        <w:t>Bundesgericht, 2018-05-16, FR</w:t>
      </w:r>
    </w:p>
    <w:p>
      <w:r>
        <w:rPr>
          <w:b/>
        </w:rPr>
        <w:t xml:space="preserve">Quelle: </w:t>
      </w:r>
      <w:r>
        <w:t>https://mcp.opencaselaw.ch/entscheid/bger_6B_644_2017</w:t>
      </w:r>
    </w:p>
    <w:p>
      <w:r>
        <w:t>FR: TF 6B_644/2017 du 16 mai 2018</w:t>
      </w:r>
    </w:p>
    <w:p>
      <w:r>
        <w:t>IT: TF 6B_644/2017 del 16 maggio 2018</w:t>
      </w:r>
    </w:p>
    <w:p>
      <w:pPr>
        <w:pStyle w:val="Heading2"/>
      </w:pPr>
      <w:r>
        <w:t>Erwägungen</w:t>
      </w:r>
    </w:p>
    <w:p>
      <w:r>
        <w:rPr>
          <w:b/>
        </w:rPr>
        <w:t>E. 1</w:t>
      </w:r>
    </w:p>
    <w:p>
      <w:r>
        <w:t>Le recourant intitule subsidiairement son recours en matière pénale "recours constitutionnel subsidiaire". 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 ).</w:t>
      </w:r>
    </w:p>
    <w:p>
      <w:r>
        <w:rPr>
          <w:b/>
        </w:rPr>
        <w:t>E. 2</w:t>
      </w:r>
    </w:p>
    <w:p>
      <w:r>
        <w:t>Dans une section de son mémoire de recours intitulée "en fait", le recourant présente sa propre version des événements, en introduisant divers éléments qui ne ressortent pas de l'arrêt attaqué, sans toutefois démontrer en quoi la cour cantonale aurait arbitrairement omis de retenir ceux-ci (cf. art. 97 al. 1 LTF ). Ce faisant, il ne présente aucun grief recevable.</w:t>
      </w:r>
    </w:p>
    <w:p>
      <w:r>
        <w:rPr>
          <w:b/>
        </w:rPr>
        <w:t>E. 3</w:t>
      </w:r>
    </w:p>
    <w:p>
      <w:r>
        <w:t>Le recourant reproche à l'autorité précédente d'avoir violé les art. 87 al. 3 et 353 al. 3 CPP en considérant que l'ordonnance pénale du 21 mars 2016 lui avait été valablement notifiée à l'adresse de son avocat.</w:t>
      </w:r>
    </w:p>
    <w:p>
      <w:r>
        <w:rPr>
          <w:b/>
        </w:rPr>
        <w:t>E. 3.1</w:t>
      </w:r>
    </w:p>
    <w:p>
      <w:r>
        <w:t>Aux termes de l' art. 87 al. 1 CPP , toute communication doit être notifiée au domicile, au lieu de résidence habituelle ou au siège du destinataire. La jurisprudence a précisé que cette disposition n'empêche pas les parties de communiquer aux autorités pénales une adresse de notification, autre que celles indiquées par la norme ( ATF 139 IV 228 consid. 1.1 p. 229 s.). L' art. 87 CPP dispose également que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Selon la jurisprudence, lorsqu'une partie annonce aux autorités pénales se faire assister, pour défendre ses intérêts, par un conseil juridique ayant son étude en Suisse, elle communique de la sorte une adresse de notification simple et sûre pour les autorités, à savoir celle de son conseil. Permettre à la partie de distinguer constitution d'un conseil et élection ou non de domicile auprès de ce dernier ne serait que source de confusion. Partant, lorsqu'un conseil juridique a été institué, les communications doivent lui être notifiées, sous peine d'invalidité (arrêt 6B_837/2017 du 21 mars 2018 consid. 2.5 destiné à la publication).</w:t>
      </w:r>
    </w:p>
    <w:p>
      <w:r>
        <w:rPr>
          <w:b/>
        </w:rPr>
        <w:t>E. 3.2</w:t>
      </w:r>
    </w:p>
    <w:p>
      <w:r>
        <w:t>La cour cantonale a exposé que l'ordonnance pénale du 21 mars 2016 avait été notifiée au recourant, à l'adresse de notification qu'il avait indiquée lors de son audition par la police, soit l'étude de son avocat. La validité d'une telle élection de domicile n'était nullement subordonnée à l'accord préalable de l'avocat en question, ni à la présence de celui-ci lors de l'audition. En définitive, l'ordonnance pénale du 21 mars 2016 avait été valablement notifiée au recourant le 22 mars 2016 de sorte que son opposition, formée le 4 avril 2016, était intervenue tardivement.</w:t>
      </w:r>
    </w:p>
    <w:p>
      <w:r>
        <w:rPr>
          <w:b/>
        </w:rPr>
        <w:t>E. 3.3</w:t>
      </w:r>
    </w:p>
    <w:p>
      <w:r>
        <w:t>Le recourant soutient qu'aucune élection de domicile en l'étude de son avocat ne serait survenue, de sorte qu'aucune communication n'aurait pu y être valablement notifiée sur la base de l' art. 87 al. 3 CPP .</w:t>
      </w:r>
    </w:p>
    <w:p>
      <w:r>
        <w:t>L'argumentation du recourant est irrecevable dans la mesure où celui-ci affirme que le mandat de son avocat aurait cessé en 2015, cet élément ne ressortant pas de l'état de fait de l'autorité précédente, par lequel le Tribunal fédéral est lié (cf. art. 105 al. 1 LTF ). Le recourant indique par ailleurs qu'il "se posait ainsi la question de savoir si la comparution par un conseil était toujours valable plus d'une année après les dernières interventions". Ce faisant, il ne conteste pas la constitution de son avocat dans la présente cause, annoncée au ministère public par courrier du 9 mai 2014, non plus qu'il ne conteste avoir désigné comme adresse de notification, lors de son audition par la police le 11 novembre 2015, l'étude de son défenseur. Compte tenu de ce qui précède et au vu de la jurisprudence précitée relative à l' art. 87 al. 3 CPP (cf. consid. 3.1 supra), l'ordonnance pénale du 21 mars 2016 a été valablement notifiée au recourant à l'adresse en question, soit en l'étude de son défenseur.</w:t>
      </w:r>
    </w:p>
    <w:p>
      <w:r>
        <w:t>L'argument du recourant, selon lequel le ministère public n'aurait plus considéré qu'une élection de domicile valable existait en l'étude de son défenseur puisqu'il avait, en septembre 2015, délivré un avis de recherche à son encontre, tombe à faux. En effet, le ministère public ne cherchait alors pas à notifier une communication à l'intéressé, mais à le localiser physiquement afin de procéder à son audition. Au demeurant, postérieurement à l'émission de cet avis de recherche, le recourant a désigné l'étude de son avocat comme adresse de notification, de sorte qu'au moment de notifier l'ordonnance pénale du 21 mars 2016, aucun doute n'existait à cet égard.</w:t>
      </w:r>
    </w:p>
    <w:p>
      <w:r>
        <w:t>Par ailleurs, contrairement à ce qu'affirme le recourant, on ne voit pas en quoi un avis de prochaine clôture, au sens de l' art. 318 CPP , aurait dû nécessairement intervenir avant la notification d'une ordonnance pénale. Il n'apparaît pas non plus que le recourant aurait procédé à une élection de domicile en l'étude de son défenseur sans le consentement de celui-ci. En effet, l'avocat en question avait annoncé son mandat lors de l'ouverture de la procédure. Il ne ressort par de l'arrêt attaqué qu'il aurait par la suite mis fin à ce mandat, ni qu'il aurait procédé à une communication en ce sens auprès du ministère public.</w:t>
      </w:r>
    </w:p>
    <w:p>
      <w:r>
        <w:t>Compte tenu de ce qui précède, la cour cantonale n'a pas violé le droit fédéral en considérant que l'ordonnance pénale du 21 mars 2016 avait été notifiée au recourant le 22 mars 2016 en l'étude de son défenseur. Le grief doit être rejeté dans la mesure où il est recevable.</w:t>
      </w:r>
    </w:p>
    <w:p>
      <w:r>
        <w:rPr>
          <w:b/>
        </w:rPr>
        <w:t>E. 4</w:t>
      </w:r>
    </w:p>
    <w:p>
      <w:r>
        <w:t>Le recourant critique sur plusieurs points l'ordonnance pénale du 21 mars 2016. Il reproche au ministère public de ne pas lui avoir, préalablement à cette décision, donné l'opportunité de se "déterminer sur le prononcé d'une éventuelle ordonnance pénale, ou de requérir des preuves", et de ne pas avoir sollicité ses déterminations relatives à une éventuelle révocation de sursis antérieurs. Le recourant se plaint par ailleurs d'une violation de l' art. 68 al. 2 CPP , en indiquant que l'ordonnance pénale litigieuse ne lui a pas été traduite, ainsi que de diverses prétendues irrégularités procédurales relatives à la peine prononcée ou aux sursis révoqués.</w:t>
      </w:r>
    </w:p>
    <w:p>
      <w:r>
        <w:t>Aucun de ces points n'a été examiné dans l'arrêt attaqué, lequel concernait exclusivement la question de la validité de l'opposition formée contre l'ordonnance pénale du 21 mars 2016. Les griefs en question sont ainsi irrecevables (cf. art. 80 al. 1 LTF ).</w:t>
      </w:r>
    </w:p>
    <w:p>
      <w:r>
        <w:t>Enfin, dans une partie de son mémoire de recours consacrée au recours constitutionnel subsidiaire, le recourant affirme que la procédure de l'ordonnance pénale serait, "dans le cas d'espèce", incompatible avec les "garanties découlant de l' art. 6 CEDH ". Ce faisant, l'intéressé ne formule aucun grief répondant aux exigences de motivation de l' art. 106 al. 2 LTF .</w:t>
      </w:r>
    </w:p>
    <w:p>
      <w:r>
        <w:rPr>
          <w:b/>
        </w:rPr>
        <w:t>E. 5</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