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6B_643/2014 vom 23. April 2015</w:t>
      </w:r>
    </w:p>
    <w:p>
      <w:r>
        <w:t>Bundesgericht, 2015-04-23, FR</w:t>
      </w:r>
    </w:p>
    <w:p>
      <w:r>
        <w:rPr>
          <w:b/>
        </w:rPr>
        <w:t xml:space="preserve">Quelle: </w:t>
      </w:r>
      <w:r>
        <w:t>https://mcp.opencaselaw.ch/entscheid/bger_6B_643_2014</w:t>
      </w:r>
    </w:p>
    <w:p>
      <w:r>
        <w:t>FR: TF 6B_643/2014 du 23 avril 2015</w:t>
      </w:r>
    </w:p>
    <w:p>
      <w:r>
        <w:t>IT: TF 6B_643/2014 del 23 aprile 2015</w:t>
      </w:r>
    </w:p>
    <w:p>
      <w:pPr>
        <w:pStyle w:val="Heading2"/>
      </w:pPr>
      <w:r>
        <w:t>Erwägungen</w:t>
      </w:r>
    </w:p>
    <w:p>
      <w:r>
        <w:rPr>
          <w:b/>
        </w:rPr>
        <w:t>E. 1</w:t>
      </w:r>
    </w:p>
    <w:p>
      <w:r>
        <w:t>Au vu de ce qui suit, la question de savoir si la recourante a qualité pour recourir peut rester ouverte.</w:t>
      </w:r>
    </w:p>
    <w:p>
      <w:r>
        <w:rPr>
          <w:b/>
        </w:rPr>
        <w:t>E. 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4.2 p. 266). Le Tribunal fédéral n'examine la violation des droits fondamentaux que si ce moyen est invoqué et motivé par le recourant ( art. 106 al. 2 LTF ), c'est-à-dire s'il a été expressément soulevé et exposé de manière claire et détaillée. Les critiques de nature appellatoire sont irrecevables ( ATF 140 III 264 consid. 4.2 p. 266).</w:t>
      </w:r>
    </w:p>
    <w:p>
      <w:r>
        <w:t>Il n'y a dès lors pas lieu de tenir compte des faits allégués par la recourante, qui ne ressortent pas de l'arrêt entrepris sans que l'arbitraire de leur omission ne soit exposé et démontré.</w:t>
      </w:r>
    </w:p>
    <w:p>
      <w:r>
        <w:rPr>
          <w:b/>
        </w:rPr>
        <w:t>E. 3</w:t>
      </w:r>
    </w:p>
    <w:p>
      <w:r>
        <w:t>En vertu de l' art. 323 al. 1 CPP , le ministère public ordonne la reprise d'une procédure préliminaire close par une ordonnance de classement entrée en force s'il a connaissance de nouveaux moyens de preuves ou de faits nouveaux qui remplissent les conditions suivantes: ils révèlent une responsabilité pénale du prévenu (let. a); ils ne ressortent pas du dossier antérieur (let. b). Ces deux conditions sont cumulatives (arrêt 6B_1015/2013 du 8 avril 2014 consid. 5.1). L' art. 323 al. 1 CPP est applicable à la reprise de la procédure préliminaire close par une ordonnance de non-entrée en matière ( art. 310 al. 2 CPP ).</w:t>
      </w:r>
    </w:p>
    <w:p>
      <w:r>
        <w:rPr>
          <w:b/>
        </w:rPr>
        <w:t>E. 3.1</w:t>
      </w:r>
    </w:p>
    <w:p>
      <w:r>
        <w:t>A teneur de l' art. 310 al. 1 let. b CPP , le ministère public rend immédiatement une ordonnance de non-entrée en matière s'il ressort de la dénonciation ou du rapport de police qu'il existe des empêchements de procéder. Constitue un tel empêchement la prescription acquise de l'action pénale (arrêt 6B_7/2014 du 21 juillet 2014 consid. 4.2.4).</w:t>
      </w:r>
    </w:p>
    <w:p>
      <w:r>
        <w:t>L'exigence que le nouveau moyen de preuves ou le fait nouveau "révèle une responsabilité pénale du prévenu" posée par l' art. 323 al. 1 let. a CPP n'est pas particulièrement claire. A tout le moins doit-on constater qu'il ne fait pas de sens d'admettre sa réalisation lorsque l'action pénale est prescrite. En effet, si la procédure pénale pouvait, dans une telle configuration, être reprise conformément à l' art. 323 CPP , elle devrait à nouveau être aussitôt arrêtée en application de l' art. 310 al. 1 let. b CPP .</w:t>
      </w:r>
    </w:p>
    <w:p>
      <w:r>
        <w:rPr>
          <w:b/>
        </w:rPr>
        <w:t>E. 3.2</w:t>
      </w:r>
    </w:p>
    <w:p>
      <w:r>
        <w:t>En l'occurrence, il résulte de l'arrêt attaqué que la procédure pénale objet de la décision de non-entrée en matière du 23 mai 2012 portait sur des actes passés en 1999 et 2000. Elle ne peut être reprise au sens de l' art. 323 CPP que sur les mêmes faits (Robert Roth, in Commentaire romand CPP, 2011, n° 23 ad art. 323).</w:t>
      </w:r>
    </w:p>
    <w:p>
      <w:r>
        <w:rPr>
          <w:b/>
        </w:rPr>
        <w:t>E. 3.3</w:t>
      </w:r>
    </w:p>
    <w:p>
      <w:r>
        <w:t>A lire les décisions rendues antérieurement, reprenant notamment les accusations portées dans la plainte, les infractions entrant en ligne de compte sont celles d'usure, d'abus de confiance, de gestion déloyale, de faux dans les titres ou encore d'obtention frauduleuse d'une constatation fausse. Au vu des circonstances d'espèce, ces infractions étaient toutes passibles, à l'époque des faits, d'une peine d'emprisonnement ou de la réclusion pour cinq ans au plus. Au moment des faits, l'art. 70 aCP dans sa teneur en vigueur jusqu'au 30 septembre 2002, prévoyait pour ces infractions que l'action pénale se prescrivait par dix ans. L'art. 70 aCP, dans sa teneur en vigueur dès le 1er octobre 2002, et l'actuel art. 97 CP ne constituent pas une lex mitior, dès lors qu'ils ont augmenté ce délai à quinze ans. L'art. 70 al. 4 aCP, dans sa teneur en vigueur au 1er octobre 2002, n'est pas applicable. L'action pénale relative aux infractions entrant ici en ligne de compte se prescrit donc par dix ans, conformément à l'art. 70 aCP dans sa teneur en vigueur jusqu'au 31 septembre 2002 (dans ce sens, arrêt 6B_1031/2013 précité consid. 4.2).</w:t>
      </w:r>
    </w:p>
    <w:p>
      <w:r>
        <w:t>Le point de départ du délai de prescription de l'action pénale est régi par l'art. 71 aCP, dans sa teneur en vigueur jusqu'au 30 septembre 2002, et non par l' art. 99 al. 1 let . c CP qui traite de la prescription de la peine. Selon cette première disposition, la prescription de l'action pénale court du jour où le délinquant a exercé son activité coupable; si cette activité s'est exercée à plusieurs reprises du jour du dernier acte; si les agissement coupables ont eu une certaine durée du jour où ils ont cessé. La date à laquelle la recourante déclare avoir eu connaissance des actes qu'elle dénonce est ainsi sans importance pour déterminer quand la prescription de l'action pénale a commencé à courir. Rien dans les faits constatés par l'autorité précédente, dont la recourante n'invoque ni ne démontre l'arbitraire, ne permet de retenir que les agissements auraient eu une certaine durée. Le délai de prescription de l'action pénale a ainsi commencé à courir le jour où les actes critiqués ont été passés.</w:t>
      </w:r>
    </w:p>
    <w:p>
      <w:r>
        <w:rPr>
          <w:b/>
        </w:rPr>
        <w:t>E. 3.4</w:t>
      </w:r>
    </w:p>
    <w:p>
      <w:r>
        <w:t>Il résulte de ce qui précède que s'agissant des actes dénoncés par la recourante, passés en 1999 et en 2000, la prescription de l'action pénale - qu'elle vise les infractions indiquées par la recourante dans sa plainte (cf. supra lit. A) ou celle d'obtention frauduleuse d'une constatation fausse mentionnée dans son recours et dans l'arrêt attaqué ( art. 253 CP ) - était acquise au plus tard fin 2010 (cf. dans ce sens arrêt 6B_1031/2013 précité consid 4.2), soit avant même que la recourante ne dépose plainte pénale.</w:t>
      </w:r>
    </w:p>
    <w:p>
      <w:r>
        <w:t>Dans ces circonstances, en présence d'accusations portant sur des infractions qui seraient prescrites, si elles étaient établies, la reprise de la procédure pénale au sens de l' art. 323 CPP ne se justifie pas. La question de savoir si les moyens de preuve apportées par la recourante sont ou non nouveaux est sans pertinence.</w:t>
      </w:r>
    </w:p>
    <w:p>
      <w:r>
        <w:rPr>
          <w:b/>
        </w:rPr>
        <w:t>E. 4</w:t>
      </w:r>
    </w:p>
    <w:p>
      <w:r>
        <w:t>Il résulte de ce qui précède que le recours doit être rejeté dans la mesure de sa recevabilité, aux frais de la recourante qui succombe ( art. 66 al. 1 LTF ). Il n'y a pas lieu d'allouer des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