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6B_641/2013 vom 12. Dezember 2013</w:t>
      </w:r>
    </w:p>
    <w:p>
      <w:r>
        <w:t>Bundesgericht, 2013-12-12, DE</w:t>
      </w:r>
    </w:p>
    <w:p>
      <w:r>
        <w:rPr>
          <w:b/>
        </w:rPr>
        <w:t xml:space="preserve">Quelle: </w:t>
      </w:r>
      <w:r>
        <w:t>https://mcp.opencaselaw.ch/entscheid/bger_6B_641_2013</w:t>
      </w:r>
    </w:p>
    <w:p>
      <w:r>
        <w:t>FR: TF 6B_641/2013 du 12 décembre 2013</w:t>
      </w:r>
    </w:p>
    <w:p>
      <w:r>
        <w:t>IT: TF 6B_641/2013 del 12 dicembre 2013</w:t>
      </w:r>
    </w:p>
    <w:p>
      <w:pPr>
        <w:pStyle w:val="Heading2"/>
      </w:pPr>
      <w:r>
        <w:t>Erwägungen</w:t>
      </w:r>
    </w:p>
    <w:p>
      <w:r>
        <w:rPr>
          <w:b/>
        </w:rPr>
        <w:t>E. 1</w:t>
      </w:r>
    </w:p>
    <w:p>
      <w:r>
        <w:t>Das Bundesgericht prüft von Amtes wegen und mit freier Kognition, ob ein Rechtsmittel zulässig ist ( BGE 137 III 417 E. 1 mit Hinweisen).</w:t>
      </w:r>
    </w:p>
    <w:p>
      <w:r>
        <w:rPr>
          <w:b/>
        </w:rPr>
        <w:t>E. 1.1</w:t>
      </w:r>
    </w:p>
    <w:p>
      <w:r>
        <w:t>Anfechtungsobjekt der Beschwerde an das Bundesgericht ist der letztinstanzliche kantonale Entscheid ( Art. 80 Abs. 1 BGG ). Das ist vorliegend der Beschluss des Obergerichts. Auf die Beschwerde ist nicht einzutreten, soweit die Aufhebung der Nichtanhandnahmeverfügung der Staatsanwaltschaft beantragt oder das zivilrechtliche Verfahren (Verantwortlichkeitsklage gegen den Beschwerdegegner) beanstandet wird (Beschwerde S. 2 und S. 10 Ziff. 5.2 lit. a).</w:t>
      </w:r>
    </w:p>
    <w:p>
      <w:r>
        <w:rPr>
          <w:b/>
        </w:rPr>
        <w:t>E. 1.2</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Dabei wird grundsätzlich verlangt, dass sie bereits adhäsionsweise Zivilforderungen geltend gemacht hat. Ausnahmsweise, bei Nichtanhandnahme oder Einstellung des Strafverfahrens, ist auf diese Voraussetzung zu verzichten. Erforderlich ist jedoch, dass im Verfahren vor Bundesgericht dargelegt wird, auf welche Zivilansprüche sich der angefochtene Entscheid auswirken kann ( BGE 138 IV 186 E. 1.4.1; 137 IV 246 ; je mit Hinweisen).</w:t>
      </w:r>
    </w:p>
    <w:p>
      <w:r>
        <w:t>Die Verantwortlichkeitsansprüche gegen den Beschwerdegegner aufgrund der Vorwürfe, die Bilanz der Konkursitin beschönigt und den Konkursrichter nicht rechtzeitig benachrichtigt zu haben, wurden bereits rechtskräftig entschieden (zur res iudicata BGE 139 III 126 E. 3.1; 121 III 474 E. 4a; je mit Hinweisen). Mit dem blossen Hinweis auf ihre Ausführungen im zivilrechtlichen und vorinstanzlichen Verfahren legt die Beschwerdeführerin nicht hinreichend dar (Beschwerde S. 5), welche weiteren Zivilansprüche aus strafbaren Handlungen ihr zustehen könnten. In Anbetracht der in Frage kommenden Delikte ist dies auch nicht ersichtlich. Die Beschwerdeführerin ist daher grundsätzlich nicht zur Beschwerde legitimiert.</w:t>
      </w:r>
    </w:p>
    <w:p>
      <w:r>
        <w:rPr>
          <w:b/>
        </w:rPr>
        <w:t>E. 1.3.1</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138 IV 248 E. 2 mit Hinweisen). Ein in der Sache nicht Legitimierter kann beispielsweise geltend machen, auf ein Rechtsmittel sei zu Unrecht nicht eingetreten worden, er sei nicht angehört worden, er habe keine Gelegenheit erhalten, Beweisanträge zu stellen, oder er habe keine Einsicht in die Akten nehmen können ( BGE 136 IV 41 E. 1.4 ; 128 I 218 E. 1.1 ; 126 I 81 E. 7b; je mit Hinweisen).</w:t>
      </w:r>
    </w:p>
    <w:p>
      <w:r>
        <w:rPr>
          <w:b/>
        </w:rPr>
        <w:t>E. 1.3.2</w:t>
      </w:r>
    </w:p>
    <w:p>
      <w:r>
        <w:t>Gemäss Art. 118 Abs. 1 StPO gilt als Privatklägerschaft die geschädigte Person, die ausdrücklich erklärt, sich am Strafverfahren als Straf- oder Zivilklägerin oder -kläger zu beteiligen. Geschädigt ist, wer durch die Straftat in seinen Rechten unmittelbar verletzt worden ist ( Art. 115 Abs. 1 StPO ). Unmittelbar verletzt und geschädigt ist, wer Träger des durch die verletzte Strafnorm geschützten oder zumindest mitgeschützten Rechtsgutes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138 IV 258 E. 2.2 f.; 129 IV 95 E. 3.1;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 MAZZUCCHELLI/POSTIZZI, in: Basler Kommentar, Schweizerische Strafprozessordnung, 2011, N. 46 zu Art. 115 StPO mit Hinweis). Werden indes durch Delikte, die nur öffentliche Interessen verletzen, private Interessen bloss mittelbar beeinträchtigt, ist der Betroffene nicht Geschädigter im Sinne des Strafprozessrechts ( BGE 138 IV 258 E. 2.3 mit Hinweisen).</w:t>
      </w:r>
    </w:p>
    <w:p>
      <w:r>
        <w:t>Urkundendelikte schützen in erster Linie die Allgemeinheit. Geschütztes Rechtsgut ist das besondere Vertrauen, welches im Rechtsverkehr einer Urkunde als Beweismittel entgegengebracht wird ( BGE 137 IV 167 E. 2.3.1 S. 169 mit Hinweisen). Daneben können auch private Interessen unmittelbar verletzt werden, falls die Urkundenfälschung auf die Benachteiligung einer bestimmten Person abzielt ( BGE 119 Ia 342 E. 2b S. 346 f.; Urteil 6B_496/2012 vom 18. April 2013 E. 5.2; je mit Hinweisen; Mazzucchelli/Postizzi, a.a.O., N. 73 zu Art. 115 StPO ; Camille Perrier, in: Commentaire romand, Code de procédure pénale suisse, 2011, N. 11 zu Art. 115 StPO ).</w:t>
      </w:r>
    </w:p>
    <w:p>
      <w:r>
        <w:rPr>
          <w:b/>
        </w:rPr>
        <w:t>E. 2</w:t>
      </w:r>
    </w:p>
    <w:p>
      <w:r>
        <w:t>Die Beschwerdeführerin wendet sich gegen das Nichteintreten der Vorinstanz auf ihre Beschwerde bezüglich des Vorwurfs der Urkundenfälschung (Beschwerde S. 2 Antrag 2 und S. 12 Ziff. 5.5). Sie setzt sich nicht mit den diesbezüglichen Erwägungen im angefochtenen Entscheid auseinander. Die Vorinstanz hält fest, selbst wenn das Passivum von Fr. 43'079.30 berücksichtigt worden wäre, hätte noch keine Überschuldung im Sinne von Art. 725 OR vorgelegen. Die Beschwerdeführerin sei durch die Falschbeurkundung (d.h. durch die Nichtbilanzierung dieser Forderung) nicht unmittelbar geschädigt worden (Beschluss S. 19 ff.). Auf die Beschwerde kann mangels Begründung in diesem Punkt nicht eingetreten werden ( Art. 42 Abs. 1 und 2 BGG ; BGE 134 II 244 E. 2.1).</w:t>
      </w:r>
    </w:p>
    <w:p>
      <w:r>
        <w:rPr>
          <w:b/>
        </w:rPr>
        <w:t>E. 3.1</w:t>
      </w:r>
    </w:p>
    <w:p>
      <w:r>
        <w:t>Die Beschwerdeführerin rügt eine Verletzung von Art. 318 Abs. 1 StPO und ihres Anspruchs auf rechtliches Gehör ( Art. 29 Abs. 2 BV ). Die Staatsanwaltschaft habe das Verfahren beendet, ohne ihr den Abschluss anzukündigen oder ihr Gelegenheit zu geben, Beweisanträge zu stellen (Beschwerde S. 10 f. Ziff. 5.1-5.4 und S. 13 f. Ziff. 6.1 f.).</w:t>
      </w:r>
    </w:p>
    <w:p>
      <w:r>
        <w:rPr>
          <w:b/>
        </w:rPr>
        <w:t>E. 3.2</w:t>
      </w:r>
    </w:p>
    <w:p>
      <w:r>
        <w:t>Die Rüge ist unbegründet. Art. 310 Abs. 2 StPO verweist für die Modalitäten des Nichtanhandnahmeverfahrens auf die Bestimmungen der Verfahrenseinstellung. Art. 318 Abs. 1 StPO ist nicht anwendbar, wenn die Staatsanwaltschaft eine Nichtanhandnahme verfügt. Sie muss weder den Parteien ankündigen, dass sie eine Nichtanhandnahmeverfügung erlassen wird (Urteil 6B_4/2013 vom 11. April 2013 E. 2.1 mit Hinweisen; Niklaus Schmid, Handbuch des schweizerischen Strafprozessrechts, 2013, S. 552 f. Fn. 73 mit Hinweisen; Esther Omlin, in: Basler Kommentar, Schweizerische Strafprozessordnung, 2011, N. 19-21 zu Art. 310 StPO ; Nathan Landshut, in: Kommentar zur Schweizerischen Strafprozessordnung, Donatsch/Hansjakob/Lieber [Hrsg.], 2010, N. 11 zu Art. 310 StPO ), noch ihnen eine Frist ansetzen, um Beweisanträge zu stellen (Urteil 1B_183/2012 vom 20. November 2012 E. 3.3). Soweit die Beschwerdeführerin geltend macht, ihr Anspruch auf rechtliches Gehör sei verletzt, weil die Staatsanwaltschaft die Konkursakten nicht beigezogen habe (Beschwerde S. 10 Ziff. 5.2 lit. b und S. 18 Ziff. 6.11), verkennt sie, dass der Aktenbeizug im Sinne von Art. 194 StPO eine Untersuchungshandlung darstellt, die grundsätzlich erst nach der Eröffnung einer Strafuntersuchung erfolgt (Urteil 1B_731/2012 vom 8. Februar 2013 E. 2).</w:t>
      </w:r>
    </w:p>
    <w:p>
      <w:r>
        <w:rPr>
          <w:b/>
        </w:rPr>
        <w:t>E. 4</w:t>
      </w:r>
    </w:p>
    <w:p>
      <w:r>
        <w:t>Die Beschwerde ist abzuweisen, soweit darauf eingetreten werden kann. Die bundesgerichtlichen 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