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640/2016 vom 17. August 2016</w:t>
      </w:r>
    </w:p>
    <w:p>
      <w:r>
        <w:t>Bundesgericht, 2016-08-17, DE</w:t>
      </w:r>
    </w:p>
    <w:p>
      <w:r>
        <w:rPr>
          <w:b/>
        </w:rPr>
        <w:t xml:space="preserve">Quelle: </w:t>
      </w:r>
      <w:r>
        <w:t>https://mcp.opencaselaw.ch/entscheid/bger_6B_640_2016</w:t>
      </w:r>
    </w:p>
    <w:p>
      <w:r>
        <w:t>FR: TF 6B 640/2016 du 17 août 2016</w:t>
      </w:r>
    </w:p>
    <w:p>
      <w:r>
        <w:t>IT: TF 6B 640/2016 del 17 agosto 2016</w:t>
      </w:r>
    </w:p>
    <w:p>
      <w:pPr>
        <w:pStyle w:val="Heading2"/>
      </w:pPr>
      <w:r>
        <w:t>Regeste</w:t>
      </w:r>
    </w:p>
    <w:p>
      <w:r>
        <w:t>Nichtanhandnahme (Amtsmissbrauch usw.) | Strafprozess</w:t>
      </w:r>
    </w:p>
    <w:p>
      <w:pPr>
        <w:pStyle w:val="Heading2"/>
      </w:pPr>
      <w:r>
        <w:t>Erwägungen</w:t>
      </w:r>
    </w:p>
    <w:p>
      <w:r>
        <w:rPr>
          <w:b/>
        </w:rPr>
        <w:t>E. 1</w:t>
      </w:r>
    </w:p>
    <w:p>
      <w:r>
        <w:t>Am 4. Dezember 2015 erstattete der Beschwerdeführer Strafanzeige gegen Angestellte des Betreibungsamtes Zürich 9 u.a. wegen Amtsmissbrauchs. Die Staatsanwaltschaft nahm mit Verfügung vom 6. Januar 2016 eine Strafuntersuchung nicht an die Hand. Eine dagegen eingereichte Beschwerde wies das Obergericht des Kantons Zürich mit Beschluss vom 15. April 2016 ab, soweit es darauf eintrat. Der Beschwerdeführer wendet sich mit Beschwerde in Strafsachen an das Bundesgericht.</w:t>
      </w:r>
    </w:p>
    <w:p>
      <w:r>
        <w:rPr>
          <w:b/>
        </w:rPr>
        <w:t>E. 2</w:t>
      </w:r>
    </w:p>
    <w:p>
      <w:r>
        <w:t>Das Bundesgericht ist nicht zuständig, die angeblichen Schuldner des Beschwerdeführers zur Zahlung ihrer Schulden zu zwingen. Weitere materielle Rechtsbegehren stellt der Beschwerdeführer nicht, weshalb auf seine Eingabe bereits gestützt auf Art. 42 Abs. 1 BGG nicht eingetreten werden kann.</w:t>
      </w:r>
    </w:p>
    <w:p>
      <w:r>
        <w:rPr>
          <w:b/>
        </w:rPr>
        <w:t>E. 3</w:t>
      </w:r>
    </w:p>
    <w:p>
      <w:r>
        <w:t>Davon abgesehen ist der Beschwerdeführer als Privatkläger zur Beschwerde in Strafsachen nur legitimiert, wenn der angefochtene Entscheid sich auf die Beurteilung seiner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Urteil 6B_195/2016 vom 22. Juni 2016 E. 1.1).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HaftungsG/ZH). Die Adressaten der Strafanzeige sind Angestellte des Betreibungsamtes Zürich 9. Allfällige Schadenersatz- und Genugtuungsansprüche gegen sie beurteilen sich folglich nach dem Haftungsgesetz des Kantons Zürich und sind öffentlich-rechtlicher Natur. Sie stellen keine Zivilansprüche im Sinne von Art. 81 Abs. 1 lit. b Ziff. 5 BGG dar. Der Beschwerdeführer ist zur Beschwerde nicht legitimiert. Auf die Beschwerde ist im Verfahren nach Art. 108 BGG nicht einzutreten.</w:t>
      </w:r>
    </w:p>
    <w:p>
      <w:r>
        <w:rPr>
          <w:b/>
        </w:rPr>
        <w:t>E. 4</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