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63/2016 vom 18. Juli 2016</w:t>
      </w:r>
    </w:p>
    <w:p>
      <w:r>
        <w:t>Bundesgericht, 2016-07-18, FR</w:t>
      </w:r>
    </w:p>
    <w:p>
      <w:r>
        <w:rPr>
          <w:b/>
        </w:rPr>
        <w:t xml:space="preserve">Quelle: </w:t>
      </w:r>
      <w:r>
        <w:t>https://mcp.opencaselaw.ch/entscheid/bger_6B_63_2016</w:t>
      </w:r>
    </w:p>
    <w:p>
      <w:r>
        <w:t>FR: TF 6B 63/2016 du 18 juillet 2016</w:t>
      </w:r>
    </w:p>
    <w:p>
      <w:r>
        <w:t>IT: TF 6B 63/2016 del 18 luglio 2016</w:t>
      </w:r>
    </w:p>
    <w:p>
      <w:pPr>
        <w:pStyle w:val="Heading2"/>
      </w:pPr>
      <w:r>
        <w:t>Regeste</w:t>
      </w:r>
    </w:p>
    <w:p>
      <w:r>
        <w:t>Illicéité des conditions de détention, compétence, arbitraire | Procédure pénale</w:t>
      </w:r>
    </w:p>
    <w:p>
      <w:pPr>
        <w:pStyle w:val="Heading2"/>
      </w:pPr>
      <w:r>
        <w:t>Erwägungen</w:t>
      </w:r>
    </w:p>
    <w:p>
      <w:r>
        <w:rPr>
          <w:b/>
        </w:rPr>
        <w:t>E. 1</w:t>
      </w:r>
    </w:p>
    <w:p>
      <w:r>
        <w:t>Au vu des conclusions du recourant ( art. 107 al. 1 LTF ), seule est litigieuse la question de la compétence du TAPEM pour constater le caractère illicite des conditions de détention du recourant avant jugement du 1er janvier au 1er juin 2014, respectivement le point de savoir si le droit du recourant à bénéficier d'un recours effectif au sens de l' art. 13 CEDH a été violé. Le recours en matière pénale est ouvert contre les décisions relatives aux conditions de la détention provisoire ou pour des motifs de sûreté ( art. 78 al. 1 LTF ; ATF 137 IV 22 consid. 1 p. 23). Quand bien même la cour cantonale s'est limitée à annuler l'ordonnance de première instance pour défaut de compétence ratione materiae du TAPEM, sans renvoyer la cause à l'autorité compétente, le recourant n'invoque d'aucune manière être victime d'un déni de justice ( art. 29 al. 1 Cst. ). Il n'y a pas lieu d'examiner la cause sous cet angle ( art. 106 al. 2 LTF ).</w:t>
      </w:r>
    </w:p>
    <w:p>
      <w:r>
        <w:rPr>
          <w:b/>
        </w:rPr>
        <w:t>E. 2</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En relation avec l'interdiction des traitements inhumains et dégradants stipulée par l' art. 3 CEDH , ainsi que s'agissant de l'épuisement des recours internes ( art. 35 CEDH ), la Cour 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CEDH Yengo c. France, requête no 50494/12, du 21 mai 2015, §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CEDH Yengo, précité, § 63; arrêt Ananyev et autres c. Russie, requêtes nos 42525/07 et 60800/08, du 10 juin 2012, § 219). Pour qu'un système de protection des droits des détenus garantis par l' 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(arrêt CEDH Yengo, précité, § 50).</w:t>
      </w:r>
    </w:p>
    <w:p>
      <w:r>
        <w:rPr>
          <w:b/>
        </w:rPr>
        <w:t>E. 3</w:t>
      </w:r>
    </w:p>
    <w:p>
      <w:r>
        <w:t>La présente procédure concerne exclusivement la détention du recourant avant jugement, qui a pris fin avec le jugement du 18 septembre 2014, ensuite du retrait de l'appel. Cela exclut que le recourant puisse, par le biais de sa demande, obtenir une modification de ses conditions de détention avant jugement, qui avaient déjà pris fin au moment où il a formulé sa demande. Par ailleurs, le recourant soutient uniquement qu'il serait privé de toute possibilité d'obtenir un constat de ses conditions de détention illicites et la réparation y relative en raison de l'absence d'indépendance du DSÉ par rapport à la prison de Champ-Dollon, celle-ci dépendant administrativement de celui-là. La cour cantonale a relevé que la Chambre administrative de la Cour de justice admettait sa compétence pour connaître d'un recours contre une décision du DSÉ en matière de conditions de détention avant jugement lorsque la demande avait été présentée après jugement, de sorte qu'un contrôle judiciaire effectif était ainsi garanti (arrêt entrepris, p. 4). Faute de tout développement dans le mémoire de recours sur ce point précis, le recourant ne démontre pas que la procédure, considérée globalement, ne lui offrirait pas les garanties minimales exigées par l' art. 13 CEDH en corrélation avec l' art. 3 CEDH ( art. 106 al. 2 LTF ). Cela conduit au rejet du recours.</w:t>
      </w:r>
    </w:p>
    <w:p>
      <w:r>
        <w:rPr>
          <w:b/>
        </w:rPr>
        <w:t>E. 4</w:t>
      </w:r>
    </w:p>
    <w:p>
      <w:r>
        <w:t>Le recourant succombe. Ses conclusions étaient d'emblée dénuées de chances de succès. L'assistance judiciaire doit être refusée ( art. 64 al. 1 LTF ). Le recourant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