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639/2019 vom 20. August 2019</w:t>
      </w:r>
    </w:p>
    <w:p>
      <w:r>
        <w:t>Bundesgericht, 2019-08-20, FR</w:t>
      </w:r>
    </w:p>
    <w:p>
      <w:r>
        <w:rPr>
          <w:b/>
        </w:rPr>
        <w:t xml:space="preserve">Quelle: </w:t>
      </w:r>
      <w:r>
        <w:t>https://mcp.opencaselaw.ch/entscheid/bger_6B_639_2019</w:t>
      </w:r>
    </w:p>
    <w:p>
      <w:r>
        <w:t>FR: TF 6B 639/2019 du 20 août 2019</w:t>
      </w:r>
    </w:p>
    <w:p>
      <w:r>
        <w:t>IT: TF 6B 639/2019 del 20 agosto 2019</w:t>
      </w:r>
    </w:p>
    <w:p>
      <w:pPr>
        <w:pStyle w:val="Heading2"/>
      </w:pPr>
      <w:r>
        <w:t>Regeste</w:t>
      </w:r>
    </w:p>
    <w:p>
      <w:r>
        <w:t>Expulsion (art. 66a al. 2 CP) | Droit pénal (en général)</w:t>
      </w:r>
    </w:p>
    <w:p>
      <w:pPr>
        <w:pStyle w:val="Heading2"/>
      </w:pPr>
      <w:r>
        <w:t>Erwägungen</w:t>
      </w:r>
    </w:p>
    <w:p>
      <w:r>
        <w:rPr>
          <w:b/>
        </w:rPr>
        <w:t>E. 1</w:t>
      </w:r>
    </w:p>
    <w:p>
      <w:r>
        <w:t>Le recourant reproche à l'autorité précédente d'avoir ordonné son expulsion du territoire suisse.</w:t>
      </w:r>
    </w:p>
    <w:p>
      <w:r>
        <w:rPr>
          <w:b/>
        </w:rPr>
        <w:t>E. 1.1</w:t>
      </w:r>
    </w:p>
    <w:p>
      <w:r>
        <w:t>Aux termes de l' art. 66a al. 1 let . c CP, le juge expulse de Suisse l'étranger qui est notamment condamné pour brigandage,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l'espèce, le recourant a commis des infractions de brigandage qui tombent sous le coup de l' art. 66a al. 1 let . c CP. Il remplit donc a priori les conditions d'une expulsion, sous la réserve d'une application de l' art. 66a al. 2 CP , voire également des normes de droit international.</w:t>
      </w:r>
    </w:p>
    <w:p>
      <w:r>
        <w:rPr>
          <w:b/>
        </w:rPr>
        <w:t>E. 1.2</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 ATF 144 IV 332 consid. 3.3 p. 339 s.).</w:t>
      </w:r>
    </w:p>
    <w:p>
      <w:r>
        <w:rPr>
          <w:b/>
        </w:rPr>
        <w:t>E. 1.3.1</w:t>
      </w:r>
    </w:p>
    <w:p>
      <w:r>
        <w:t>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6B_598/2019 du 5 juillet 2019 consid. 4.3.1).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6B_598/2019 précité consid. 4.3.1; 6B_143/2019 du 6 mars 2019 consid. 3.3.1; 6B_1329/2018 du 14 février 2019 consid. 2.3.1). Par ailleurs, dans l'appréciation du cas de rigueur, l'art. 66a al. 2, 2ème phrase, CP impose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 ATF 144 IV 332 consid. 3.3.3 p. 341 s.).</w:t>
      </w:r>
    </w:p>
    <w:p>
      <w:r>
        <w:rPr>
          <w:b/>
        </w:rPr>
        <w:t>E. 1.3.2</w:t>
      </w:r>
    </w:p>
    <w:p>
      <w:r>
        <w:t>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6B_598/2019 précité consid. 4.3.2 et les références citées). En l'espèce, il est douteux que le recourant puisse se prévaloir d'un droit au respect de sa vie privée et familiale, au sens de l' art. 8 par. 1 CEDH , dès lors qu'il ne présente pas des liens sociaux ou professionnels spécialement intenses avec la Suisse et que son intégration dans ce pays n'est pas particulièrement forte. Il ressort du jugement attaqué que ses seuls liens tangibles avec la Suisse sont ceux qu'il entretient avec ses parents, son frère et sa soeur dans ce pays. Or, les relations visées par l' art. 8 CEDH sont avant tout celles qui concernent la famille dite nucléaire, soit celles qui existent entre époux ainsi qu'entre parents et enfants mineurs vivant en ménage commun (cf. ATF 144 II 1 consid. 6.1 p. 12; 135 I 143 consid. 1.3.2 p. 146). Il n'apparaît pas qu'il existerait, entre le recourant et l'un des membres de sa famille précité, un rapport de dépendance particulier, par exemple en raison d'une maladie ou d'un handicap (cf. ATF 137 I 154 consid. 3.4.2 p. 159; arrêts 2C_72/2019 du 7 juin 2019 consid. 6.1; 6B_1329/2018 précité consid. 2.3.2), duquel l'intéressé pourrait déduire une protection fondée sur l' art. 8 par. 1 CEDH . Ainsi, seul un droit au respect de sa vie privée fondé sur les années passées en Suisse, en particulier durant sa minorité, pourrait éventuellement être invoqué. Quoi qu'il en soit, à supposer que le recourant puisse se prévaloir d'un droit découlant de l' art. 8 par. 1 CEDH , son expulsion pourrait de toute manière être confirmée au regard de l' art. 8 par. 2 CEDH (cf. consid. 1.4.2 infra).</w:t>
      </w:r>
    </w:p>
    <w:p>
      <w:r>
        <w:rPr>
          <w:b/>
        </w:rPr>
        <w:t>E. 1.4</w:t>
      </w:r>
    </w:p>
    <w:p>
      <w:r>
        <w:t>Il convient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arrêt 6B_1329/2018 précité consid. 2.4 et les références citées).</w:t>
      </w:r>
    </w:p>
    <w:p>
      <w:r>
        <w:rPr>
          <w:b/>
        </w:rPr>
        <w:t>E. 1.4.1</w:t>
      </w:r>
    </w:p>
    <w:p>
      <w:r>
        <w:t>La cour cantonale a exposé que le recourant avait grandi dans son pays jusqu'à l'âge de 12 ans et que ses seuls liens avec la Suisse étaient ceux qu'il entretenait dans ce pays avec ses parents, son frère et sa soeur. Elle a relevé que le recourant ne disposait d'aucune formation professionnelle ni ne s'était jamais intégré dans le monde du travail. Celui-ci n'avait que peu travaillé mais avait en revanche déployé une intense activité délictueuse, puisqu'il avait été condamné à trois reprises entre 2015 et 2016. Malgré une condamnation à une peine privative de liberté de 22 mois avec sursis en 2015, l'intéressé n'avait pas pris conscience de la gravité de ses actes et avait continué à vivre en marge de la société, avant de se retrouver en situation de récidive spéciale. L'intérêt public à son expulsion était ainsi élevé. D'un point de vue administratif, le renvoi du recourant avait été ordonné. Celui-ci parlait et comprenait la langue de son pays d'origine, où il avait d'ailleurs vécu plus longtemps qu'en Suisse. Il lui serait donc possible de s'y réinsérer, d'autant qu'il y avait encore de nombreux membres de sa famille.</w:t>
      </w:r>
    </w:p>
    <w:p>
      <w:r>
        <w:rPr>
          <w:b/>
        </w:rPr>
        <w:t>E. 1.4.2</w:t>
      </w:r>
    </w:p>
    <w:p>
      <w:r>
        <w:t>En l'espèce, les intérêts présidant à l'expulsion du recourant sont importants, dès lors que celui-ci a commis des brigandages en s'attaquant physiquement à des tiers et que ses antécédents démontrent une propension à s'adonner de manière continue à la délinquance et à violer l'ordre juridique suisse sans tenir compte des sanctions prononcées. Le recourant est certes arrivé en Suisse dès l'âge de 12 ans, mais son intégration y est médiocre puisqu'il ne peut se prévaloir d'aucune formation ni expérience professionnelle sérieuse, l'intéressé ne revendiquant pour le reste aucune participation particulière à la vie sociale. Rien ne permet de considérer que le recourant se réintégrerait plus difficilement au Tchad - où il possède de la famille - qu'en Suisse, où il ne parvient pas à trouver sa place dans la société. Le temps écoulé depuis la commission des infractions n'est pas important. Il ne ressort par ailleurs pas du jugement attaqué que le comportement du recourant durant cette période aurait été particulièrement bon, celui-ci ayant d'ailleurs consommé des stupéfiants durant sa détention. Le recourant n'explique pas en quoi la pesée des intérêts opérée par la cour cantonale serait inadéquate, mais souligne des éléments qui y ont pourtant expressément été pris en compte, comme la durée de son séjour en Suisse, l'âge d'arrivée dans ce pays ou encore la présence de divers membres de sa famille. L'intéressé se prévaut par ailleurs de l'âge qu'il avait au moment de la commission des infractions. Il apparaît toutefois que les brigandages commis ne peuvent être regardés comme constitutifs d'un simple écart de jeunesse, puisque l'intéressé avait déjà été sanctionné, en 2015, notamment pour une tentative de brigandage avec arme. Pour le reste, le recourant formule des voeux d'intégration professionnelle et sociale en Suisse, sans que l'on perçoive en quoi sa situation devrait désormais permettre d'envisager avec une confiance particulière l'acquisition d'une formation qu'il a par le passé échoué à concrétiser, quand bien même il pourrait se prévaloir d'une promesse de stage et d'une perspective d'hébergement au sein de sa famille. On relèvera que celui-ci ne dispose de toute manière plus d'une autorisation de séjour en Suisse. Enfin, l'intéressé proteste d'une réelle prise de conscience, qui ne saurait toutefois être admise dès lors qu'il minimise par ailleurs la gravité de ses actes, en résumant ses brigandages à "un échange de coups entre la victime et le recourant", respectivement à "une tentative de coup de poing, la victime ayant été ici pour l'essentiel retenue, poussée et chahutée". En définitive, compte tenu de la gravité des infractions sanctionnées, de la propension du recourant à s'en prendre aux biens d'autrui - y compris par la violence - et de son intégration médiocre en Suisse, l'intérêt public à l'expulsion l'emporte sur l'intérêt privé de l'intéressé à demeurer dans ce pays. Il n'apparaît pas que le recourant se trouvera au Tchad dans une situation sensiblement plus défavorable qu'en Suisse. Dans ces circonstances, l'expulsion s'avère conforme au principe de la proportionnalité.</w:t>
      </w:r>
    </w:p>
    <w:p>
      <w:r>
        <w:rPr>
          <w:b/>
        </w:rPr>
        <w:t>E. 1.5</w:t>
      </w:r>
    </w:p>
    <w:p>
      <w:r>
        <w:t>La seconde condition pour l'application de l' art. 66a al. 2 CP n'étant pas réalisée, la cour cantonale n'a pas violé le droit fédéral, constitutionnel ou international en ordonnant l'expulsion du recourant pour une durée de huit ans.</w:t>
      </w:r>
    </w:p>
    <w:p>
      <w:r>
        <w:rPr>
          <w:b/>
        </w:rPr>
        <w:t>E. 2</w:t>
      </w:r>
    </w:p>
    <w:p>
      <w:r>
        <w:t>Le recours doit être rejeté.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