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6B_638/2021 vom 17. August 2022</w:t>
      </w:r>
    </w:p>
    <w:p>
      <w:r>
        <w:t>Bundesgericht, 2022-08-17, FR</w:t>
      </w:r>
    </w:p>
    <w:p>
      <w:r>
        <w:rPr>
          <w:b/>
        </w:rPr>
        <w:t xml:space="preserve">Quelle: </w:t>
      </w:r>
      <w:r>
        <w:t>https://mcp.opencaselaw.ch/entscheid/bger_6B_638_2021</w:t>
      </w:r>
    </w:p>
    <w:p>
      <w:r>
        <w:t>FR: TF 6B_638/2021 du 17 août 2022</w:t>
      </w:r>
    </w:p>
    <w:p>
      <w:r>
        <w:t>IT: TF 6B_638/2021 del 17 agosto 2022</w:t>
      </w:r>
    </w:p>
    <w:p>
      <w:pPr>
        <w:pStyle w:val="Heading2"/>
      </w:pPr>
      <w:r>
        <w:t>Erwägungen</w:t>
      </w:r>
    </w:p>
    <w:p>
      <w:r>
        <w:rPr>
          <w:b/>
        </w:rPr>
        <w:t>E. 1</w:t>
      </w:r>
    </w:p>
    <w:p>
      <w:r>
        <w:t>Le Tribunal fédéral examine d'office ( art. 29 al. 1 LTF ) et contrôle librement la recevabilité des recours qui lui sont soumis ( ATF 146 IV 185 consid. 2).</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rPr>
          <w:b/>
        </w:rPr>
        <w:t>E. 1.2</w:t>
      </w:r>
    </w:p>
    <w:p>
      <w:r>
        <w:t>En l'espèce, le recourant fait valoir, sous réserve de modification, des conclusions civiles à l'encontre des auteurs des faits, solidairement entre eux, à concurrence de 10'000 fr. à titre de remboursement des frais de traitement à la suite des lésions subies et à concurrence de 10'000 fr. également à titre d'indemnité pour tort moral compte tenu des lésions subies, le tout avec intérêts à 5 % l'an dès le 8 septembre 2019. Il convient par conséquent, au regard de ce qui précède et de la nature des infractions dénoncées, d'admettre qu'il dispose de la qualité pour recourir.</w:t>
      </w:r>
    </w:p>
    <w:p>
      <w:r>
        <w:rPr>
          <w:b/>
        </w:rPr>
        <w:t>E. 2</w:t>
      </w:r>
    </w:p>
    <w:p>
      <w:r>
        <w:t>Tout en dénonçant une violation de son droit d'être entendu, de même qu'un déni de justice, ainsi que des constatations de faits qu'il juge manifestement inexactes, le recourant reproche à la cour cantonale d'avoir violé les art. 6, 7 et 310 CPP . Il lui fait à cet égard grief d'avoir violé la maxime de l'instruction et le principe</w:t>
      </w:r>
    </w:p>
    <w:p>
      <w:r>
        <w:t>in dubio pro duriore.</w:t>
      </w:r>
    </w:p>
    <w:p>
      <w:r>
        <w:rPr>
          <w:b/>
        </w:rPr>
        <w:t>E. 2.1.1</w:t>
      </w:r>
    </w:p>
    <w:p>
      <w:r>
        <w:t>Conformément à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w:t>
      </w:r>
    </w:p>
    <w:p>
      <w:r>
        <w:t>in dubio pro duriore . Celui-ci découle du principe de la légalité ( art. 5 al. 1 Cst. et 2 al. 2 CPP en relation avec les art. 319 al. 1 et 324 al. 1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 ATF 146 IV 68 consid. 2.1).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138 IV 86 consid. 4.1.2 et les références citées; arrêt 6B_1199/2020 du 23 septembre 2021 consid. 2.1).</w:t>
      </w:r>
    </w:p>
    <w:p>
      <w:r>
        <w:rPr>
          <w:b/>
        </w:rPr>
        <w:t>E. 2.1.2</w:t>
      </w:r>
    </w:p>
    <w:p>
      <w:r>
        <w:t>Lorsque l'identité de l'auteur ne peut être découverte, le ministère public peut suspendre la procédure ( art. 314 CPP ) ou refuser d'entrer en matière ( art. 310 CPP ). Dans son résultat, la non-entrée en matière ne se distingue pas fondamentalement d'une suspension de la procédure, puisque selon l' art. 323 al. 1 CPP (applicable par renvoi de l' art. 310 al. 2 CPP ), la procédure pourra être reprise en cas de moyens de preuve ou de faits nouveaux (arrêts 1B_67/2012 du 29 mai 2012 consid. 3; 1B_23/2012 du 2 avril 2012 consid. 2; cf. GRODECKI/CORNU, in JEANNERET/KUHN/PERRIER DEPEURSINGE, Commentaire romand, Code de procédure pénale, 2</w:t>
      </w:r>
    </w:p>
    <w:p>
      <w:r>
        <w:t>e éd. 2019, n° 9a ad art. 310 CPP ; MOREILLON/PAREIN REYMOND, Petit commentaire CPP, 2</w:t>
      </w:r>
    </w:p>
    <w:p>
      <w:r>
        <w:t>e éd. 2016, n° 6 ad art. 310 CPP ; ANNE CHERPILLOD, Arrêt de la procédure pénale par le ministère public sans condamnation, ni instruction: l'ordonnance de non-entrée en matière, in RPS 133 [2015], p. 207).</w:t>
      </w:r>
    </w:p>
    <w:p>
      <w:r>
        <w:rPr>
          <w:b/>
        </w:rPr>
        <w:t>E. 2.1.3</w:t>
      </w:r>
    </w:p>
    <w:p>
      <w:r>
        <w:t>Avant l'ouverture d'une instruction, le droit de participer à l'administration des preuves ne s'applique en principe pas ( art. 147 al. 1 CPP</w:t>
      </w:r>
    </w:p>
    <w:p>
      <w:r>
        <w:t>a contrario ; ATF 143 IV 397 consid. 3.3.2 i. f.; 140 IV 172 consid. 1.2.2), et ce y compris en cas d'investigations policières diligentées à titre de complément d'enquête requis par le ministère public en vertu de l' art. 309 al. 2 CPP (arrêts 6B_488/2021 du 22 décembre 2021 consid. 4.2; 6B_290/2020 du 17 juillet 2020 consid. 2.2). En outre, avant de rendre une ordonnance de non-entrée en matière, le ministère public n'a pas à informer les parties ni n'a l'obligation de leur fixer un délai pour présenter d'éventuelles réquisitions de preuve, l' 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arrêts 6B_89/2022 du 2 juin 2022 consid. 2.2; 6B_546/2021 du 11 avril 2022 consid. 3.1 et les arrêts cités).</w:t>
      </w:r>
    </w:p>
    <w:p>
      <w:r>
        <w:rPr>
          <w:b/>
        </w:rPr>
        <w:t>E. 2.1.4</w:t>
      </w:r>
    </w:p>
    <w:p>
      <w:r>
        <w:t>Lorsque la partie recourante n'a subi aucun dommage de ce que le ministère public a rendu une ordonnance de non-entrée en matière au lieu d'une ordonnance de classement, il ne se justifie pas de l'annuler pour ce seul motif (arrêt 6B_546/2021 précité consid. 3.1 et les arrêts cités).</w:t>
      </w:r>
    </w:p>
    <w:p>
      <w:r>
        <w:rPr>
          <w:b/>
        </w:rPr>
        <w:t>E. 2.2</w:t>
      </w:r>
    </w:p>
    <w:p>
      <w:r>
        <w:t>En l'espèce, le recourant soutient que la cour cantonale a violé son droit d'être entendu en rejetant les réquisitions de preuve qu'il avait formulées devant elle, s'agissant d'un appel à témoin et de la mise sur pied d'une surveillance discrète par la police dans le but d'identifier les auteurs des faits dénoncés. A cet égard, la cour cantonale a considéré qu'il n'y avait rien à attendre véritablement, à l'époque, soit plus de 19 mois après les faits au moment où la décision attaquée a été rendue, d'un appel au seul témoin qui, d'après le recourant, aurait assisté à la scène, ni d'une surveillance discrète et prolongée par la police, à l'heure et à l'endroit où les évènements s'étaient produits, d'autant que la description faite des trois individus par le recourant était des plus communes. Face à cette motivation, le recourant développe une argumentation par laquelle il conteste essentiellement l'appréciation de la cour cantonale concernant le résultat escompté des mesures d'instruction requises. On ne saurait toutefois reprocher à cette dernière, au vu des circonstances, d'avoir souligné le caractère aléatoire des démarches requises par le recourant. En ce sens, la motivation cantonale ne prête pas le flanc à la critique. Le grief de violation du droit d'être entendu soulevé par le recourant doit dès lors être rejeté.</w:t>
      </w:r>
    </w:p>
    <w:p>
      <w:r>
        <w:rPr>
          <w:b/>
        </w:rPr>
        <w:t>E. 2.3</w:t>
      </w:r>
    </w:p>
    <w:p>
      <w:r>
        <w:t>S'agissant du grief qu'il soulève en lien avec l'établissement des faits, le recourant s'en prend aux constatations cantonales concernant le caractère identifiable des inconnus dénoncés, en lien avec la netteté des images de vidéosurveillance figurant au dossier. La cour cantonale a relevé que ces dernières étaient floues, qu'elles ne permettaient pas de distinguer les visages et donc d'identifier les trois inconnus dénoncés par le recourant. Le recourant, qui ne paraît pas contester ce constat en lui-même, soutient néanmoins que les images en question permettaient d'opérer certaines constatations, tout en constituant un élément important et utile du dossier. En tout état, il échoue à démontrer en quoi les constatations cantonales seraient insoutenables sur ce point. Pour le surplus, son argumentaire revient à discuter librement, partant de façon appellatoire et irrecevable, les éléments que l'on pourrait tirer des images, respectivement leur utilité. Rien de ce qu'il avance n'apparaît toutefois de nature à remettre en cause le constat selon lequel lesdites images ne permettaient pas en elles-mêmes d'identifier les inconnus dénoncés. Mal fondé, le grief doit lui aussi être rejeté, dans la mesure de sa recevabilité.</w:t>
      </w:r>
    </w:p>
    <w:p>
      <w:r>
        <w:rPr>
          <w:b/>
        </w:rPr>
        <w:t>E. 2.4</w:t>
      </w:r>
    </w:p>
    <w:p>
      <w:r>
        <w:t>Sur le fond, il n'est certes pas contestable que les faits dénoncés par le recourant sont susceptibles de revêtir une qualification pénale. Il n'en demeure pas moins que les instances précédentes étaient fondées à constater que les personnes dénoncées, nonobstant la récolte et l'exploitation d'images de vidéosurveillance, ainsi qu'une diffusion des images au sein des polices cantonale et municipale - éléments qui infirme l'argument tiré d'une prétendue inaction des autorités de poursuite et d'une prétendue violation de la maxime de l'instruction à cet égard -, n'avaient pas pu être identifiées. En ce sens, la décision de non-entrée, telle que confirmée par le biais de la décision querellée demeure conforme à la jurisprudence topique, rappelée ci-dessus (cf.</w:t>
      </w:r>
    </w:p>
    <w:p>
      <w:r>
        <w:t>supra consid. 2.1.2). Au demeurant, la cour cantonale a également souligné à juste titre que la non-entrée en matière n'excluait pas une reprise de cause en application de l' art. 323 CPP (cf. art. 310 al. 2 CPP ). On ne discerne en définitive pas quel dommage le recourant aurait subi dans ce contexte et en quoi il eût été préférable pour lui qu'une procédure soit ouverte pour être ensuite suspendue en application de l' art. 314 CPP , comme il l'évoquait devant les juges précédents. Sur ce point également, le grief s'avère mal fondé et doit être rejeté.</w:t>
      </w:r>
    </w:p>
    <w:p>
      <w:r>
        <w:rPr>
          <w:b/>
        </w:rPr>
        <w:t>E. 3</w:t>
      </w:r>
    </w:p>
    <w:p>
      <w:r>
        <w:t>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fixé en tenant compte de sa situation.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