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6B_635/2019 vom 20. Juni 2019</w:t>
      </w:r>
    </w:p>
    <w:p>
      <w:r>
        <w:t>Bundesgericht, 2019-06-20, DE</w:t>
      </w:r>
    </w:p>
    <w:p>
      <w:r>
        <w:rPr>
          <w:b/>
        </w:rPr>
        <w:t xml:space="preserve">Quelle: </w:t>
      </w:r>
      <w:r>
        <w:t>https://mcp.opencaselaw.ch/entscheid/bger_6B_635_2019</w:t>
      </w:r>
    </w:p>
    <w:p>
      <w:r>
        <w:t>FR: TF 6B_635/2019 du 20 juin 2019</w:t>
      </w:r>
    </w:p>
    <w:p>
      <w:r>
        <w:t>IT: TF 6B_635/2019 del 20 giugno 2019</w:t>
      </w:r>
    </w:p>
    <w:p>
      <w:pPr>
        <w:pStyle w:val="Heading2"/>
      </w:pPr>
      <w:r>
        <w:t>Erwägungen</w:t>
      </w:r>
    </w:p>
    <w:p>
      <w:r>
        <w:rPr>
          <w:b/>
        </w:rPr>
        <w:t>E. 1</w:t>
      </w:r>
    </w:p>
    <w:p>
      <w:r>
        <w:t>Die kantonale Staatsanwaltschaft nahm die vom Beschwerdeführer angestrebte Strafuntersuchung gegen den Gerichtspräsidenten des Kantonsgerichts Schwyz wegen Amtsmissbrauch am 20. Februar 2019 nicht an die Hand. Auf eine dagegen gerichtete Beschwerde trat das Kantonsgericht Schwyz am 17. April 2019 nicht ein.</w:t>
      </w:r>
    </w:p>
    <w:p>
      <w:r>
        <w:t>Der Beschwerdeführer wendet sich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w:t>
      </w:r>
    </w:p>
    <w:p>
      <w:r>
        <w:rPr>
          <w:b/>
        </w:rPr>
        <w:t>E. 3</w:t>
      </w:r>
    </w:p>
    <w:p>
      <w:r>
        <w:t>Angefochten ist eine Nichteintretensverfügung. Im vorliegenden Verfahren kann es daher nur um die Frage gehen, ob das Kantonsgericht auf das Rechtsmittel zu Unrecht nicht eingetreten ist. Damit befasst sich der Beschwerdeführer nicht. Aus der Beschwerde ergibt sich mithin nicht, inwiefern die angefochtene Verfügung gegen das Recht im Sinne von Art. 95 StGB verstossen könnte. Die vom Beschwerdeführer aufgeworfenen Fragen zur Akteneinsicht in einem hängigen Strafverfahren bilden nicht Verfahrensgegenstand. Abgesehen davon wurden sie mit den Urteilen des Bundesgerichts 1B_7/2019 vom 13. März 2019, 1F_20/2019 vom 25. April 2019 und 1F_27/2019 vom 29. Mai 2019 abschliessend beurteilt. Die Beschwerde genügt den gesetzlichen Begründungsanforderungen nicht. Darauf ist mangels einer tauglichen Begründung im Verfahren nach Art. 108 BGG nicht einzutreten. Ob und inwiefern der Beschwerdeführer unter dem Gesichtswinkel von Art. 81 Abs. 1 lit. b Ziff. 5 BGG zum vorliegenden Rechtsmittel überhaupt legitimiert wäre, kann offenbleiben.</w:t>
      </w:r>
    </w:p>
    <w:p>
      <w:r>
        <w:rPr>
          <w:b/>
        </w:rPr>
        <w:t>E. 4</w:t>
      </w:r>
    </w:p>
    <w:p>
      <w:r>
        <w:t>Die Gerichtskosten sind dem Beschwerdeführer aufzuerlegen ( Art. 66 Abs. 1 BGG ). Das Gesuch um unentgeltliche Rechtspflege ist wegen Aussichtslosigkeit abzuweisen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