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634/2009 vom 27. August 2009</w:t>
      </w:r>
    </w:p>
    <w:p>
      <w:r>
        <w:t>Bundesgericht, 2009-08-27, DE</w:t>
      </w:r>
    </w:p>
    <w:p>
      <w:r>
        <w:rPr>
          <w:b/>
        </w:rPr>
        <w:t xml:space="preserve">Quelle: </w:t>
      </w:r>
      <w:r>
        <w:t>https://mcp.opencaselaw.ch/entscheid/bger_6B_634_2009</w:t>
      </w:r>
    </w:p>
    <w:p>
      <w:r>
        <w:t>FR: TF 6B 634/2009 du 27 août 2009</w:t>
      </w:r>
    </w:p>
    <w:p>
      <w:r>
        <w:t>IT: TF 6B 634/2009 del 27 agosto 2009</w:t>
      </w:r>
    </w:p>
    <w:p>
      <w:pPr>
        <w:pStyle w:val="Heading2"/>
      </w:pPr>
      <w:r>
        <w:t>Regeste</w:t>
      </w:r>
    </w:p>
    <w:p>
      <w:r>
        <w:t>Erstellung eines Gutachtens über die Hafterstehungsfähigkeit | Straf- und Massnahmenvollzug</w:t>
      </w:r>
    </w:p>
    <w:p>
      <w:pPr>
        <w:pStyle w:val="Heading2"/>
      </w:pPr>
      <w:r>
        <w:t>Erwägungen</w:t>
      </w:r>
    </w:p>
    <w:p>
      <w:r>
        <w:rPr>
          <w:b/>
        </w:rPr>
        <w:t>E. 1</w:t>
      </w:r>
    </w:p>
    <w:p>
      <w:r>
        <w:t>Mit dem angefochtenen Entscheid wird die Frage, ob und wie der Beschwerdeführer seine Strafe anzutreten hat, nicht beurteilt. Das Verfahren ist damit nicht abgeschlossen, es handelt sich um einen Zwischenentscheid. Gegen einen solchen ist die Beschwerde in Strafsachen zulässig, wenn er einen nicht wiedergutzumachenden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 Lit. b kommt in Strafverfahren kaum je zur Anwendung (Entscheid des Bundesgerichts 6B_782/2008 vom 12. Mai 2009, E. 1.4) und fällt auch im vorliegenden Fall nicht in Betracht. Es ist Sache des Beschwerdeführers nachzuweisen, dass die Eintretensvoraussetzungen von Art. 93 Abs. 1 BGG erfüllt sind ( BGE 134 III 426 E. 1.2; 133 III 629 E. 2.4.2; 133 IV 288 E. 3.2; Entscheid des Bundesgerichts 6B_516/2007 E. 1.3). Schweigt er sich dazu wie hier vollständig aus, ist auf die Beschwerde nicht einzutreten. Es ist im Übrigen auch nicht ersichtlich, dass die Erstellung eines neuen Gutachtens über die Hafterstehungsfähigkeit einen nicht wiedergutzumachenden Nachteil rechtlicher Natur bewirken könnte.</w:t>
      </w:r>
    </w:p>
    <w:p>
      <w:r>
        <w:rPr>
          <w:b/>
        </w:rPr>
        <w:t>E. 2</w:t>
      </w:r>
    </w:p>
    <w:p>
      <w:r>
        <w:t>Auf die Beschwerde ist nicht einzutreten. Bei diesem Ausgang des Verfahrens wird der Beschwerdeführer kostenpflichtig ( Art. 66 Abs. 1 BGG ). Er hat zwar ein Gesuch um unentgeltliche Rechtspflege und Verbeiständung gestellt, welches indessen abzuweisen ist, da die Beschwerde aussichtslos war ( Art. 64 Abs. 1 BGG ). Den ungünstigen finanziellen Verhältnissen des Beschwerdeführers ist bei der Festsetzung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