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6B_633/2013 vom 14. November 2013</w:t>
      </w:r>
    </w:p>
    <w:p>
      <w:r>
        <w:t>Bundesgericht, 2013-11-14, FR</w:t>
      </w:r>
    </w:p>
    <w:p>
      <w:r>
        <w:rPr>
          <w:b/>
        </w:rPr>
        <w:t xml:space="preserve">Quelle: </w:t>
      </w:r>
      <w:r>
        <w:t>https://mcp.opencaselaw.ch/entscheid/bger_6B_633_2013</w:t>
      </w:r>
    </w:p>
    <w:p>
      <w:r>
        <w:t>FR: TF 6B_633/2013 du 14 novembre 2013</w:t>
      </w:r>
    </w:p>
    <w:p>
      <w:r>
        <w:t>IT: TF 6B_633/2013 del 14 novembre 2013</w:t>
      </w:r>
    </w:p>
    <w:p>
      <w:pPr>
        <w:pStyle w:val="Heading2"/>
      </w:pPr>
      <w:r>
        <w:t>Erwägungen</w:t>
      </w:r>
    </w:p>
    <w:p>
      <w:r>
        <w:rPr>
          <w:b/>
        </w:rPr>
        <w:t>E. 1</w:t>
      </w:r>
    </w:p>
    <w:p>
      <w:r>
        <w:t>Par ordonnance du 2 mai 2013, le Ministère public fribourgeois a refusé d'entrer en matière sur la plainte pour délit manqué de contrainte formée par A.X.________ et B.X.________ à l'encontre de C.________ pour leur avoir fait notifier un commandement de payer. La Chambre pénale du Tribunal cantonal fribourgeois a rejeté le recours de A.X.________ et B.X.________ aux termes d'un arrêt rendu le 3 juin 2013. Ces derniers interjettent un recours en matière pénale au Tribunal fédéral contre l'arrêt cantonal dont ils requièrent l'annulation.</w:t>
      </w:r>
    </w:p>
    <w:p>
      <w:r>
        <w:rPr>
          <w:b/>
        </w:rPr>
        <w:t>E. 2</w:t>
      </w:r>
    </w:p>
    <w:p>
      <w:r>
        <w:t>Le Tribunal fédéral examine librement et d'office les conditions de recevabilité des recours qui lui sont soumis ( ATF 138 I 367 consid. 1 p. 369).</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3.1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357 consid. 1.2 p. 359; 133 II 353 consid. 1 p. 356).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En l'espèce, les recourants ne se déterminent pas sur les prétentions qu'ils souhaiteraient faire valoir dans le cadre d'une procédure civile séparée. En particulier, ils ne s'expriment aucunement sur le préjudice moral - pas plus que sur l'importance de celui-ci - consécutif à la notification du commandement de payer en cause. Il est rappelé que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De plus, les recourants n'ont pas donné suite au commandement de payer, de sorte que le cas d'espèce ne permet pas de déduire sans ambiguïté le dommage auquel ils pourraient prétendre, les frais de justice ne constituant pas des prétentions civiles (arrêt 1B_712/2011 du 3 avril 2012 consid. 1.3). L'absence de toute explication suffit pour exclure leur qualité pour recourir, de sorte que le recours est irrecevable en tant qu'il porte sur le fond de la cause.</w:t>
      </w:r>
    </w:p>
    <w:p>
      <w:r>
        <w:rPr>
          <w:b/>
        </w:rPr>
        <w:t>E. 3.2</w:t>
      </w:r>
    </w:p>
    <w:p>
      <w:r>
        <w:t>Au demeurant, l'hypothèse visée à l'art. 81 al. 1 let. b ch. 6 LTF n'entre pas en considération, la contestation des recourants ne portant pas sur leur droit de porter plainte. De même ne dénoncent-ils aucune violation de leurs droits de partie à la procédure équivalant à un déni de justice formel, ce qui du reste ne leur permettrait pas non plus de faire valoir par ce biais, même indirectement, des moyens qui ne peuvent être séparés du fond ( ATF 136 IV 29 consid. 1.9 et les réf. cit.).</w:t>
      </w:r>
    </w:p>
    <w:p>
      <w:r>
        <w:rPr>
          <w:b/>
        </w:rPr>
        <w:t>E. 4</w:t>
      </w:r>
    </w:p>
    <w:p>
      <w:r>
        <w:t>Les recourants, qui succombent, supportent les frais judiciaires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