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6B_632/2024 vom 4. April 2025</w:t>
      </w:r>
    </w:p>
    <w:p>
      <w:r>
        <w:t>Bundesgericht, 2025-04-04, FR</w:t>
      </w:r>
    </w:p>
    <w:p>
      <w:r>
        <w:rPr>
          <w:b/>
        </w:rPr>
        <w:t xml:space="preserve">Quelle: </w:t>
      </w:r>
      <w:r>
        <w:t>https://mcp.opencaselaw.ch/entscheid/bger_6B_632_2024</w:t>
      </w:r>
    </w:p>
    <w:p>
      <w:r>
        <w:t>FR: TF 6B_632/2024 du 4 avril 2025</w:t>
      </w:r>
    </w:p>
    <w:p>
      <w:r>
        <w:t>IT: TF 6B_632/2024 del 4 aprile 2025</w:t>
      </w:r>
    </w:p>
    <w:p>
      <w:pPr>
        <w:pStyle w:val="Heading2"/>
      </w:pPr>
      <w:r>
        <w:t>Erwägungen</w:t>
      </w:r>
    </w:p>
    <w:p>
      <w:r>
        <w:rPr>
          <w:b/>
        </w:rPr>
        <w:t>E. 1</w:t>
      </w:r>
    </w:p>
    <w:p>
      <w:r>
        <w:t>Invoquant l' art. 9 Cst. et la présomption d'innocence, le recourant se plaint d'un établissement manifestement inexact des faits. Il soutient en substance que la cour cantonale aurait dû retenir qu'il n'avait pas l'intention de donner la mort à l'intimé avant d'avoir reçu les coups infligés par la victime.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3.1; 148 IV 409 consid. 2.2; 147 IV 73 consid. 4.1.2; 146 IV 88 consid. 1.3.1).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1.1.3</w:t>
      </w:r>
    </w:p>
    <w:p>
      <w:r>
        <w:t>Les déclarations de la victime constituent un élément de preuve. Le juge doit, dans l'évaluation globale de l'ensemble des éléments probatoires rassemblés au dossier, les apprécier librement (arrêts 6B_589/2024 du 17 janvier 2025 consid. 2.1.3; 6B_820/2024 du 2 décembre 2024 consid. 1.1).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2.1.3; 6B_820/2024 précité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précité consid. 2.1.3; 6B_327/2024 du 11 décembre 2024 consid. 2.1.3; 6B_820/2024 précité consid. 1.1).</w:t>
      </w:r>
    </w:p>
    <w:p>
      <w:r>
        <w:rPr>
          <w:b/>
        </w:rPr>
        <w:t>E. 1.2</w:t>
      </w:r>
    </w:p>
    <w:p>
      <w:r>
        <w:t>Le recourant reproche tout d'abord à la cour cantonale de ne pas avoir retenu que l'intimé lui aurait jeté un "mauvais regard", avant les faits litigieux, en se fondant sur les déclarations de deux témoins. Toutefois, cet élément n'a pas été établi par la cour cantonale. Cela étant, même à supposer qu'il ait eu lieu, comme le relève à juste titre la cour cantonale, aucun regard ne justifie de porter des coups de couteau. Pour le surplus, le seul fait qu'un témoin aurait déclaré que lorsqu'il a vu l'intimé se lever et se diriger vers la porte, "à sa façon de marcher, ça se voyait qu'il voulait en venir aux mains" ne suffit pas à considérer qu'il s'agissait d'une bagarre ayant dégénéré plutôt qu'une agression unilatérale. Le grief est rejeté dans la mesure où il est recevable.</w:t>
      </w:r>
    </w:p>
    <w:p>
      <w:r>
        <w:rPr>
          <w:b/>
        </w:rPr>
        <w:t>E. 1.3</w:t>
      </w:r>
    </w:p>
    <w:p>
      <w:r>
        <w:t>Le recourant reproche à la cour cantonale d'avoir omis des témoignages qui seraient susceptibles d'établir que l'intimé lui a porté un coup avant qu'il ne sorte son couteau.</w:t>
      </w:r>
    </w:p>
    <w:p>
      <w:r>
        <w:rPr>
          <w:b/>
        </w:rPr>
        <w:t>E. 1.3.1</w:t>
      </w:r>
    </w:p>
    <w:p>
      <w:r>
        <w:t>La cour cantonale a relevé, à l'instar des premiers juges, que certains témoins, qui n'avaient pas vu le couteau porté par le recourant, avaient eu l'impression qu'il s'agissait d'une bagarre à coups de poing. Or, le terme de "bagarre" n'avait rien de probant dans les dépositions de témoins. L'intimé s'était défendu et avait notamment donné des coups de pied pour tenter de se protéger des coups de couteau de son agresseur, de sorte que, vu de l'extérieur, les coups échangés pouvaient avoir l'apparence d'une bagarre, sans que cela infirme le constat des premiers juges selon lequel c'était bien le recourant qui avait agressé l'intimé. D'ailleurs, le fait que le recourant ne contestait en définitive pas son intention homicide le démontrait également.</w:t>
      </w:r>
    </w:p>
    <w:p>
      <w:r>
        <w:rPr>
          <w:b/>
        </w:rPr>
        <w:t>E. 1.3.2</w:t>
      </w:r>
    </w:p>
    <w:p>
      <w:r>
        <w:t>Par son argumentation, le recourant oppose sa propre appréciation à celle de la cour cantonale, sans démontrer en quoi le raisonnement de celle-ci serait arbitraire, ce qui n'est pas le cas. Le grief est rejeté dans la mesure où il est recevable.</w:t>
      </w:r>
    </w:p>
    <w:p>
      <w:r>
        <w:rPr>
          <w:b/>
        </w:rPr>
        <w:t>E. 1.4</w:t>
      </w:r>
    </w:p>
    <w:p>
      <w:r>
        <w:t>Le recourant fait ensuite grief à la cour cantonale d'avoir retenu qu'après s'être approché de la fenêtre située à côté de l'intimé, il s'est rendu vers la porte arrière du bus et simultanément a sorti un couteau pliable déjà ouvert antérieurement. Il se prévaut des déclarations de certains témoins qui auraient dit ne pas avoir vu de couteau.</w:t>
      </w:r>
    </w:p>
    <w:p>
      <w:r>
        <w:t>Or, le fait que certains témoins n'aient pas vu le couteau et aient pensé qu'il s'agissait d'une bagarre ne permet pas de conclure que le recourant n'a pas sorti de couteau, étant relevé que, pour arriver à sa conclusion, la cour cantonale s'est notamment fondée sur les déclarations précises et constantes de l'intimé (contrairement à celles du recourant qui ont toujours varié) et sur le fait que la version de l'intimé est confirmée par les lésions telles que constatées par les médecins-légistes. À cet égard, il ressort du jugement attaqué que l'intimé a subi plusieurs plaies perforantes, dont le coup le plus violent, donné au thorax, a provoqué un pneumothorax ainsi qu'une plaie au cou. Or, comme le relève la cour cantonale, ces blessures démontrent que le recourant s'en est d'emblée pris à des zones vitales. Le grief est donc rejeté dans la mesure où il est recevable.</w:t>
      </w:r>
    </w:p>
    <w:p>
      <w:r>
        <w:rPr>
          <w:b/>
        </w:rPr>
        <w:t>E. 1.5</w:t>
      </w:r>
    </w:p>
    <w:p>
      <w:r>
        <w:t>Le recourant reproche encore à la cour cantonale de ne pas avoir retenu qu'il tenait une canette de bière à la main, lorsqu'il longeait le bus, et cela jusqu'à l'altercation avec l'intimé. Il soutient que le couteau de marque Victorinox qu'il a utilisé doit être ouvert avec les deux mains et qu'il a donc lâché la canette de bière pour ouvrir le couteau.</w:t>
      </w:r>
    </w:p>
    <w:p>
      <w:r>
        <w:t>En l'espèce, si le fait qu'il tenait une canette de bière dans sa main gauche juste avant l'agression ressort en effet de différentes pièces du dossier, le recourant ne démontre pas en quoi cet élément serait déterminant sur l'issue du litige. En effet, la cour cantonale retient que le recourant a sorti un couteau qui avait été déjà ouvert antérieurement et qu'il a tenu dans sa main droite. Celui-ci conteste cette appréciation qu'il considère comme "peu probable", sans toutefois démontrer en quoi elle serait insoutenable. On rappellera à cet égard qu'il n'y a pas arbitraire du seul fait qu'une solution autre que celle de l'autorité cantonale semble concevable, voire préférable (cf. ATF 141 I 70 consid. 2.2; 140 I 201 consid. 6.1). Le grief est donc rejeté.</w:t>
      </w:r>
    </w:p>
    <w:p>
      <w:r>
        <w:rPr>
          <w:b/>
        </w:rPr>
        <w:t>E. 1.6</w:t>
      </w:r>
    </w:p>
    <w:p>
      <w:r>
        <w:t>Le recourant reproche à la cour cantonale d'avoir retenu que les plaies relevées sur son visage correspondaient aux gestes de défense de l'intimé consistant à repousser son agresseur à coups de pied pour éviter les coups de couteau, alors que cela ne ressortirait d'aucun élément du dossier. Il soutient que c'est lui qui aurait reçu un premier coup de l'intimé et aurait ensuite sorti un couteau, au moyen duquel il a asséné plusieurs coups.</w:t>
      </w:r>
    </w:p>
    <w:p>
      <w:r>
        <w:t>À nouveau, le recourant oppose en réalité sa propre version des faits à celle retenue par la cour cantonale, sans démontrer en quoi celle-ci serait arbitraire.</w:t>
      </w:r>
    </w:p>
    <w:p>
      <w:r>
        <w:rPr>
          <w:b/>
        </w:rPr>
        <w:t>E. 1.7</w:t>
      </w:r>
    </w:p>
    <w:p>
      <w:r>
        <w:t>Au regard de ce qui précède, la cour cantonale n'a pas versé dans l'arbitraire en retenant que le recourant avait commis les faits qui lui sont reprochés.</w:t>
      </w:r>
    </w:p>
    <w:p>
      <w:r>
        <w:rPr>
          <w:b/>
        </w:rPr>
        <w:t>E. 2</w:t>
      </w:r>
    </w:p>
    <w:p>
      <w:r>
        <w:t>Invoquant une violation de l' art. 112 CP , le recourant conteste la qualification de l'homicide en tant qu'assassinat, soit l'absence particulière de scrupules.</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2.2</w:t>
      </w:r>
    </w:p>
    <w:p>
      <w:r>
        <w:t>La cour cantonale a retenu que la tentative d'homicide reprochée au recourant était caractérisée d'abord par sa gratuité. Le recourant n'avait aucune raison de s'en prendre à l'intimé, qu'il ne connaissait pas et dont le comportement n'avait aucunement donné lieu à cette débauche de violence. C'était en vain que le recourant reprenait sa thèse de la bagarre dans la discussion sur les qualifications juridiques, car il s'écartait des faits retenus. Les coups de couteau avaient été soudains et violents, preuve d'une grande détermination. La poursuite du bus, pour y remonter et tenter d'en découdre encore, démontrait aussi cet acharnement. L'ensemble des circonstances, surtout le fait que le recourant n'avait absolument aucune raison d'en vouloir à l'intimé, permettaient de considérer le crime comme odieux, le recourant ayant agi avec un complet mépris de la vie humaine.</w:t>
      </w:r>
    </w:p>
    <w:p>
      <w:r>
        <w:rPr>
          <w:b/>
        </w:rPr>
        <w:t>E. 2.3</w:t>
      </w:r>
    </w:p>
    <w:p>
      <w:r>
        <w:t>En l'espèce, dans la mesure où, dans son argumentation, le recourant se contente essentiellement de soutenir que les coups de couteau ont été donnés dans le cadre d'une bagarre et qu'il n'avait pas l'intention de porter atteinte à la vie de l'intimé avant le début de la bagarre, il oppose sa version des faits à celle retenue sans arbitraire par la cour cantonale (cf.</w:t>
      </w:r>
    </w:p>
    <w:p>
      <w:r>
        <w:t>supra consid. 1). Pour le surplus, le raisonnement de la cour cantonale apparaît conforme au droit fédéral, le mobile étant considéré par la jurisprudence comme particulièrement odieux lorsqu'il apparaît futile, l'auteur tuant sans motif sérieux ou pour une broutille (cf.</w:t>
      </w:r>
    </w:p>
    <w:p>
      <w:r>
        <w:t>supra consid. 2.1), ce qui apparaît être le cas en l'espèce, étant rappelé que le recourant et l'intimé ne se connaissaient pas du tout avant les faits en cause. Le grief est donc rejeté dans la mesure de sa recevabilité.</w:t>
      </w:r>
    </w:p>
    <w:p>
      <w:r>
        <w:rPr>
          <w:b/>
        </w:rPr>
        <w:t>E. 3</w:t>
      </w:r>
    </w:p>
    <w:p>
      <w:r>
        <w:t>Invoquant l' art. 47 CP , le recourant conteste la peine prononcée, qu'il considère trop sévère.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rPr>
          <w:b/>
        </w:rPr>
        <w:t>E. 3.2</w:t>
      </w:r>
    </w:p>
    <w:p>
      <w:r>
        <w:t>La cour cantonale a relevé, à l'instar des premiers juges, que le recourant était un multirécidiviste, indésirable en Suisse, qui s'en était pris au bien juridique le plus précieux, soit la vie. Il avait agi en plein jour, dans un bus public, frappant à l'arme blanche aux endroits vitaux quelqu'un qu'il ne connaissait pas, au motif extrêmement futile que celui-ci lui aurait lancé un mauvais regard. Les circonstances donnaient à penser que personne n'était à l'abri, que n'importe qui aurait pu être agressé par lui. Sa détention n'avait pas infléchi son comportement illicite, vu le nombre important de condamnations disciplinaires prononcées à son encontre en prison. S'agissant de ses antécédents, il avait déjà été condamné pour des violences; pour les infractions de vol et de contrainte, il se trouvait en situation de récidive.</w:t>
      </w:r>
    </w:p>
    <w:p>
      <w:r>
        <w:t>Avec les premiers juges, il fallait constater que le recourant n'avait pour ainsi dire pas collaboré avec les enquêteurs et qu'il n'avait pas donné l'impression qu'il assumait ses actes - se retranchant derrière l'absence de souvenirs ou la consommation de substances et se cherchant des excuses - et avait minimisé ceux-ci faisant preuve d'une absence de prise de conscience. Aux débats d'appel, il avait encore invoqué qu'il n'était pas conscient de ce qu'il faisait au moment de donner des coups et qu'il ne pouvait plus dire comment les faits s'étaient déroulés. Il avait surtout insisté sur le fait qu'il ne pensait pas qu'un suivi psychiatrique était obligatoire pour lui, pensant pouvoir lui-même remédier à d'éventuels problèmes par "des interactions dans la société et avec son entourage". À l'évidence, la prise de conscience qu'il évoquait dans son appel n'avait pas eu lieu. Le concours d'infractions serait en outre retenu à charge. À décharge, il y avait lieu de tenir compte de la légère diminution de responsabilité résultant de l'expertise concernant la tentative d'homicide, des antécédents d'expériences traumatiques subies par le recourant et, dans une toute relative mesure, des regrets et excuses exprimés par le recourant, qui apparaissaient de circonstance, puisqu'il persistait à minimiser la gravité de ses actes.</w:t>
      </w:r>
    </w:p>
    <w:p>
      <w:r>
        <w:t>Le fait que l'assassinat en eût été resté au stade de la tentative était également une circonstance atténuante, permettant cas échéant de descendre en-dessous du seuil de peine minimal prescrit par la loi. Au vu des éléments qui précèdent, la culpabilité du recourant devait être qualifiée d'extrêmement lourde. Elle serait ramenée à très lourde pour tenir compte de la légère diminution de responsabilité à laquelle avaient conclu les expertes psychiatres. Le recourant s'était rendu coupable de tentative d'assassinat, de vol, de contrainte, d'entrave aux services d'intérêt général, de rupture de ban et de contravention à la LStup. L'infraction la plus grave était la tentative d'assassinat. Avec une pleine et entière responsabilité, considérant que l'infraction en était restée au stade de la tentative, c'était une peine privative de liberté de douze ans qui devrait être prononcée pour cette infraction. Compte tenu de la légère diminution de responsabilité de l'intéressé en lien avec cette infraction, la peine privative de liberté serait réduite à neuf ans. Cette peine serait augmentée d'un mois afin de réprimer le vol, de deux mois afin de sanctionner la contrainte, d'un mois pour l'entrave aux services d'intérêt général et de deux mois supplémentaires pour la rupture de ban. La cour cantonale a ainsi confirmé la peine privative de liberté de neuf ans et six mois prononcée à l'encontre du recourant - ferme, au vu de sa durée incompatible avec le sursis -, ainsi que l'amende de 500 fr., convertible en une peine privative de liberté de cinq jours en cas de non-paiement, afin de réprimer la contravention à la LStup.</w:t>
      </w:r>
    </w:p>
    <w:p>
      <w:r>
        <w:rPr>
          <w:b/>
        </w:rPr>
        <w:t>E. 3.3</w:t>
      </w:r>
    </w:p>
    <w:p>
      <w:r>
        <w:t>Le recourant reproche à la cour cantonale de ne pas avoir pris en compte certains éléments à décharge pour prononcer la peine, à savoir ses aveux, ses excuses ainsi que la prise de conscience qu'il affirme avoir manifestée. Ce grief tombe à faux. En effet, la cour cantonale a tenu compte, comme éléments à décharge, des regrets et excuses exprimés par le recourant, mais "dans une toute relative mesure," dès lors qu'elle a considéré qu'ils apparaissaient de circonstance et que le recourant persistait à minimiser la gravité de ses actes. L'intéressé ne démontre ni en quoi cette appréciation violerait le droit fédéral, ni en quoi il aurait opéré une prise de conscience, ce qui ne ressort pas du jugement attaqué. Dès lors, le grief est rejeté.</w:t>
      </w:r>
    </w:p>
    <w:p>
      <w:r>
        <w:rPr>
          <w:b/>
        </w:rPr>
        <w:t>E. 3.4</w:t>
      </w:r>
    </w:p>
    <w:p>
      <w:r>
        <w:t>En définitive, le recourant ne démontre pas en quoi la cour cantonale aurait ignoré un élément important en sa faveur ou aurait, au contraire, pris en considération à tort des éléments sans pertinence au moment de fixer la peine, laquelle n'apparaît pas exagérément sévère au point de constituer un abus de pouvoir d'appréciation. Le grief de violation de l' art. 47 CP est infondé, dans la mesure où il est recevable.</w:t>
      </w:r>
    </w:p>
    <w:p>
      <w:r>
        <w:rPr>
          <w:b/>
        </w:rPr>
        <w:t>E. 4</w:t>
      </w:r>
    </w:p>
    <w:p>
      <w:r>
        <w:t>Le recourant invoque plusieurs griefs en lien avec le prononcé de l'internement.</w:t>
      </w:r>
    </w:p>
    <w:p>
      <w:r>
        <w:rPr>
          <w:b/>
        </w:rPr>
        <w:t>E. 4.1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134 IV 315 consid. 3.2; arrêts 6B_388/2023 du 4 décembre 2023 consid. 3.3.1; 6B_817/2021 du 30 mars 2022 consid. 2.1).</w:t>
      </w:r>
    </w:p>
    <w:p>
      <w:r>
        <w:rPr>
          <w:b/>
        </w:rPr>
        <w:t>E. 4.2</w:t>
      </w:r>
    </w:p>
    <w:p>
      <w:r>
        <w:t>L' art. 56 al. 3 CP prévoit que, pour ordonner l'une des mesures prévues aux art. 59 à 61, 63 ou 64 CP, le juge se fonde sur une expertise qui doit se déterminer sur la nécessité et les chances de succès d'un traitement, sur la vraisemblance que l'auteur commette d'autres infractions et sur la nature de celles-ci, ainsi que sur les possibilités de faire exécuter la mesure.</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6B_272/2022 précité consid. 3.8.1; 6B_901/2022 précité consid. 4.5).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t>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6B_388/2023 précité consid. 3.3.3; 6B_817/2021 précité consid. 2.2.1; 6B_1080/2021 du 8 décembre 2021 consid. 3.1; 6B_157/2019 du 11 mars 2019 consid. 1.3.1).</w:t>
      </w:r>
    </w:p>
    <w:p>
      <w:r>
        <w:t>Savoir si le risque de récidive est qualifié est une question juridique (cf. arrêt 6B_388/2023 précité consid. 3.3.3 et les références citées). Toutefois les questions psychiatrique et juridique sont souvent difficiles à distinguer en pratique. La tâche principale d'une expertise médico-légale est de clarifier l'état psychique de l'intéressé et de poser un pronostic (arrêts 6B_388/2023 précité consid. 3.3.3; 6B_817/2021 précité consid. 2.2.1; 6B_708/2015 du 22 octobre 2015 consid. 3.3, non publié in ATF 142 IV 1 ).</w:t>
      </w:r>
    </w:p>
    <w:p>
      <w:r>
        <w:rPr>
          <w:b/>
        </w:rPr>
        <w:t>E. 5</w:t>
      </w:r>
    </w:p>
    <w:p>
      <w:r>
        <w:t>Invoquant une appréciation arbitraire des preuves, le recourant reproche d'abord à la cour cantonale d'avoir retenu qu'il souffre de troubles de la personnalité dyssociale alors que les expertes ont relevé qu'il s'agissait d'une suspicion.</w:t>
      </w:r>
    </w:p>
    <w:p>
      <w:r>
        <w:rPr>
          <w:b/>
        </w:rPr>
        <w:t>E. 5.1</w:t>
      </w:r>
    </w:p>
    <w:p>
      <w:r>
        <w:t>Dans son jugement, la cour cantonale a retenu ce qui suit:</w:t>
      </w:r>
    </w:p>
    <w:p>
      <w:r>
        <w:t>"Quant à la possibilité d'une mesure moins invasive, les expertes se sont prononcées clairement, indiquant qu'un suivi thérapeutique efficient, pour espérer diminuer le risque de récidive paraissait peut efficient, en raison du trouble de la personnalité dyssociale dont souffre l'expertisé, trouble qui répondait très mal à une telle psychothérapie, [...]" (jugement attaqué, p. 22).</w:t>
      </w:r>
    </w:p>
    <w:p>
      <w:r>
        <w:t>Pour justifier le prononcé d'un internement à l'encontre du recourant, la cour cantonale a retenu ce qui suit:</w:t>
      </w:r>
    </w:p>
    <w:p>
      <w:r>
        <w:t>"Il n'est pas accessible à un traitement, d'une part parce qu'il présente une capacité d'introspection très faible, d'autre part parce que le trouble de la personnalité dyssociale répond très mal à la psychothérapie, notamment lorsque comme en l'espèce l'auteur estime ne pas avoir besoin de traitement, ce qu'il a encore confirmé à l'audience d'appel" (jugement attaqué, p. 33).</w:t>
      </w:r>
    </w:p>
    <w:p>
      <w:r>
        <w:rPr>
          <w:b/>
        </w:rPr>
        <w:t>E. 5.2</w:t>
      </w:r>
    </w:p>
    <w:p>
      <w:r>
        <w:t>Or, comme le relève le recourant, il ressort clairement du rapport d'expertise que comme diagnostics psychiatriques, en plus d'un syndrome de dépendance à de multiples substances, les expertes ont expressément retenu une "suspicion d'un trouble de la personnalité dyssociale (F60.2) " (cf. rapport d'expertise, p. 12, 14, 17, 18 et 21; pièce 61 du dossier cantonal; art. 105 al. 2 LTF ) et non un trouble avéré, "en raison du discours variable de l'expertisé" (cf. rapport d'expertise, p. 14). Concernant l'adéquation d'une mesure thérapeutique, les expertes répondent notamment que "le trouble de la personnalité dyssociale,</w:t>
      </w:r>
    </w:p>
    <w:p>
      <w:r>
        <w:t>s'il est avéré, répond très mal à la psychothérapie" (cf. rapport d'expertise, p. 22).</w:t>
      </w:r>
    </w:p>
    <w:p>
      <w:r>
        <w:t>Il s'ensuit qu'en retenant que le recourant souffrait d'un trouble de la personnalité dyssociale, la cour cantonale a procédé à une appréciation arbitraire d'un élément de preuve, à savoir le rapport d'expertise. En outre, dans la mesure où la décision de prononcer l'internement - et non, le cas échéant, une mesure moins incisive - se fonde au moins en partie sur le fait que le recourant a un trouble de la personnalité dyssociale avéré, la décision se révèle arbitraire également dans son résultat. Le recours doit donc être admis sur ce point.</w:t>
      </w:r>
    </w:p>
    <w:p>
      <w:r>
        <w:rPr>
          <w:b/>
        </w:rPr>
        <w:t>E. 6</w:t>
      </w:r>
    </w:p>
    <w:p>
      <w:r>
        <w:t>Le recourant se plaint d'une violation du droit d'être entendu ( art. 29 Cst. ) en lien avec la violation de l' art. 389 CPP . Il reproche à la cour cantonale d'avoir refusé d'ordonner un complément d'expertise. Il soutient qu'il existe plusieurs incertitudes et contradictions apparentes dans le rapport d'expertise.</w:t>
      </w:r>
    </w:p>
    <w:p>
      <w:r>
        <w:rPr>
          <w:b/>
        </w:rPr>
        <w:t>E. 6.1.1</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6B_971/2023 précité consid. 1.1; 6B_812/2020 du 16 juillet 2020 consid. 2.1;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 art. 9 Cst. ( ATF 142 IV 49 consid. 2.1.3).</w:t>
      </w:r>
    </w:p>
    <w:p>
      <w:r>
        <w:rPr>
          <w:b/>
        </w:rPr>
        <w:t>E. 6.1.2</w:t>
      </w:r>
    </w:p>
    <w:p>
      <w:r>
        <w:t>Le droit d'être entendu, garanti à l' art. 29 al. 2 Cst. , comprend notamment celui de faire administrer des preuves, à condition qu'elles soient pertinentes et de nature à influer sur la décision à rendre ( ATF 145 I 73 consid. 7.2.2.1; 143 V 71 consid. 4.1; 142 II 218 consid. 2.3; 140 I 285 consid. 6.3.1 et les références citées).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arrêts 6B_886/2024 du 3 février 2025 consid. 1.1; 6B_1049/2023 du 19 juillet 2024 consid. 1.1.1).</w:t>
      </w:r>
    </w:p>
    <w:p>
      <w:r>
        <w:rPr>
          <w:b/>
        </w:rPr>
        <w:t>E. 6.2</w:t>
      </w:r>
    </w:p>
    <w:p>
      <w:r>
        <w:t>La cour cantonale a considéré que, contrairement à ce que soutenait le recourant, il n'appartenait pas aux expertes de se prononcer sur la nécessité d'un internement, mais au juge. Celui-ci devait se prononcer en tenant compte d'un risque de récidive qualifié, raison pour laquelle les expertes avaient, à juste titre, renvoyé, pour la question relative à l'internement, à leur réponse concernant le risque de récidive. Quant à la possibilité d'une mesure moins invasive, les expertes s'étaient prononcées clairement, indiquant qu'un suivi thérapeutique pour espérer diminuer le risque de récidive paraissait peut efficient, en raison du trouble de la personnalité dyssociale dont souffre l'expertisé, trouble qui répondait très mal à une telle psychothérapie, ce d'autant plus que l'expertisé estimait ne pas en avoir besoin et que ses capacités d'introspection étaient faibles. Les expertes avaient également considéré qu'une injonction judiciaire de suivre un tel traitement serait contre-productive. Ils avaient en outre exclu un traitement des addictions. Quant à une éventuelle règle de conduite, elle ne concernait que le maintien de l'abstinence aux produits stupéfiants hors milieu carcéral. En définitive, les expertes s'étaient prononcées sur le risque de récidive d'actes de même nature, qu'elles avaient considéré comme élevé, et ont exclu toute recommandation de mesures pénales. L'expertise était donc claire et complète et il n'y avait aucune raison d'ordonner un complément. La réquisition de preuve présentée en appel devait dès lors être rejetée.</w:t>
      </w:r>
    </w:p>
    <w:p>
      <w:r>
        <w:rPr>
          <w:b/>
        </w:rPr>
        <w:t>E. 6.3.1</w:t>
      </w:r>
    </w:p>
    <w:p>
      <w:r>
        <w:t>En l'espèce, comme le relève le recourant et comme susmentionné (cf.</w:t>
      </w:r>
    </w:p>
    <w:p>
      <w:r>
        <w:t>supra consid. 5.2), les expertes ne retiennent pas que le recourant souffre d'un trouble de la personnalité dyssociale. Il ressort de l'expertise qu'il ne s'agit que d'une suspicion. Les expertes relèvent en effet qu'elles n'ont que peu d'éléments de l'anamnèse du recourant et encore moins d'une hétéro-anamnèse et qu'ainsi, par prudence, elles ne retiennent qu'une suspicion d'un trouble de la personnalité dyssociale (rapport d'expertise, p. 14).</w:t>
      </w:r>
    </w:p>
    <w:p>
      <w:r>
        <w:t>Par ailleurs, s'agissant du trouble avéré dont souffre le recourant selon l'expertise, à savoir, le syndrome de dépendance à de multiples substances, il ne ressort pas clairement de l'expertise si les faits reprochés au recourant sont, selon les expertes, à mettre en relation avec ce grave trouble - auquel cas on se trouverait dans l'hypothèse de l' art. 64 al. 1 let. b CP - ou non - auquel cas on pourrait envisager l'hypothèse de l' art. 64 al. 1 let. a CP . À cet égard, l'expert retient une légère altération des capacités volitives du recourant en raison de "son imprégnation alcoolique ainsi qu'à la cocaïne et benzodiazépines au moment des faits". S'agissant de la question du rapport de causalité entre le trouble mental constaté et les faits reprochés, elles retiennent ce qui suit:</w:t>
      </w:r>
    </w:p>
    <w:p>
      <w:r>
        <w:t>"[Le recourant] présente un symptôme de dépendance à de multiples substances présent depuis plusieurs années. Il n'a dès lors plus été abstinent, en dehors de sa période de détention. [...] Ainsi, quelques jours après avoir été libéré de son incarcération, il reprend ses consommations d'alcool, cocaïne, cannabis et benzodiazépines. Ces substances, et plus particulièrement l'alcool, ont un effet désinhibiteur et augmentent l'impulsivité et l'agressivité qui le caractérisent, favorisant des comportements délictueux" (rapport d'expertise, p. 21).</w:t>
      </w:r>
    </w:p>
    <w:p>
      <w:r>
        <w:t>Plus loin dans le rapport, les expertes retiennent que "les abus de substances [du recourant] ont favorisé le passage à l'acte, mais ne sont pas directement liés aux faits reprochés" (rapport d'expertise, p. 22).</w:t>
      </w:r>
    </w:p>
    <w:p>
      <w:r>
        <w:t>Force est ainsi de constater que les conclusions des expertes relatives au lien entre les troubles d'addiction du recourant et les faits sont peu claires.</w:t>
      </w:r>
    </w:p>
    <w:p>
      <w:r>
        <w:t>Enfin, les expertes ne préconisent pas de mesure thérapeutique ni d'internement, se contentant d'indiquer que le risque de récidive est élevé, sans toutefois qualifier celui-ci de hautement vraisemblable (cf.</w:t>
      </w:r>
    </w:p>
    <w:p>
      <w:r>
        <w:t>supra consid. 4.1). Elles considèrent toutefois qu'une injonction sous forme de règle de conduite visant à tendre au maintien de l'abstinence par des contrôles de consommation pourrait "aider à mieux canaliser la désinhibition et l'impulsivité exacerbée par l'abus de toxiques" (rapport d'expertise, p. 22). Or, si, selon la jurisprudence, savoir si le risque de récidive est qualifié est une question juridique (cf.</w:t>
      </w:r>
    </w:p>
    <w:p>
      <w:r>
        <w:t>supra consid. 4.2), l'expertise doit néanmoins fournir des éléments permettant d'établir si le risque est suffisamment vraisemblable pour satisfaire aux exigences de l' art. 64 CP . À cet égard, le recourant fait valoir qu'en préconisant une telle règle de conduite, il apparaît que les expertes considéraient qu'en l'absence de consommation de produits toxiques par le recourant, le risque de récidive serait grandement diminué.</w:t>
      </w:r>
    </w:p>
    <w:p>
      <w:r>
        <w:rPr>
          <w:b/>
        </w:rPr>
        <w:t>E. 6.3.2</w:t>
      </w:r>
    </w:p>
    <w:p>
      <w:r>
        <w:t>Dans ces conditions et dans la mesure où l'expert n'a pas été entendu pendant la procédure, il apparaît tout d'abord que certains aspects de l'expertise en lien avec l'éventuel trouble de la personnalité dyssociale sont incomplets. À cet égard, si, malgré le complément d'expertise, les expertes ne sont pas en mesure de se prononcer sur l'existence ou non d'un trouble de la personnalité dyssociale, il leur appartient, le cas échéant, de répondre aux questions relatives au risque de récidive et aux mesures préconisées dans les deux hypothèses. Par ailleurs, l'expertise n'apparaît pas claire, d'une part, s'agissant de la relation entre le trouble des addictions constaté et les faits reprochés, et, d'autre part, concernant la mesure préconisée, ce que les expertes entendent par la mise en place d'une règle de conduite.</w:t>
      </w:r>
    </w:p>
    <w:p>
      <w:r>
        <w:rPr>
          <w:b/>
        </w:rPr>
        <w:t>E. 6.4</w:t>
      </w:r>
    </w:p>
    <w:p>
      <w:r>
        <w:t>Compte tenu de ce qui précède, le recours doit également être admis sur ce point.</w:t>
      </w:r>
    </w:p>
    <w:p>
      <w:r>
        <w:rPr>
          <w:b/>
        </w:rPr>
        <w:t>E. 7</w:t>
      </w:r>
    </w:p>
    <w:p>
      <w:r>
        <w:t>Le recourant invoque une violation de l' art. 64 CP , soutenant que l'internement ordonné par les juges cantonaux constitue une atteinte disproportionnée aux droits de sa personnalité.</w:t>
      </w:r>
    </w:p>
    <w:p>
      <w:r>
        <w:rPr>
          <w:b/>
        </w:rPr>
        <w:t>E. 7.1</w:t>
      </w:r>
    </w:p>
    <w:p>
      <w:r>
        <w:t>Selon la jurisprudence, le seul fait que le recourant manifeste son opposition à la mesure institutionnelle ne suffit pas à exclure qu'il soit encore susceptible d'être motivé au sens où l'entend la jurisprudence, l'acceptation de la thérapie constituant souvent le premier objectif de celle-ci (arrêts 6B_1247/2022 du 19 janvier 2023 consid. 3.4; 6B_755/2021 du 1er juin 2022 consid. 1.3; 6B_1321/2017 du 26 avril 2018 consid. 4.3; 6B_1287/2017 du 18 janvier 2018 consid. 1.3.3 et 6B_463/2016 du 12 septembre 2016 consid. 1.3.3). En effet, selon la jurisprudence, ce qui est déterminant, c'est de savoir si une possibilité minimale à être motivé pour un traitement thérapeutique est reconnaissable chez la personne concernée (arrêts 6B_755/2021 précité consid. 1.3; 6B_1221/2021 du 17 janvier 2022 consid. 1.5.2; 6B_1287/2017 précité consid. 1.3.3; 6B_463/2016 précité consid. 1.3.3 [</w:t>
      </w:r>
    </w:p>
    <w:p>
      <w:r>
        <w:t>minimale Motivierbarkeit] ).</w:t>
      </w:r>
    </w:p>
    <w:p>
      <w:r>
        <w:rPr>
          <w:b/>
        </w:rPr>
        <w:t>E. 7.2</w:t>
      </w:r>
    </w:p>
    <w:p>
      <w:r>
        <w:t>La cour cantonale a relevé que le recourant avait commis l'un des crimes les plus graves de notre ordre juridique. Il présentait, à dires d'experts, un risque de récidive élevé d'actes de même nature. Il n'était pas accessible à un traitement, d'une part, parce qu'il présentait une capacité d'introspection très faible, d'autre part, parce que le trouble de la personnalité dyssociale répondait très mal à la psychothérapie, notamment lorsque comme en l'espèce l'auteur estimait ne pas avoir besoin de traitement, ce qu'il avait encore confirmé à l'audience d'appel. Il ne parvenait même pas à se comporter correctement en milieu carcéral, continuant à se montrer impulsif et transgressant régulièrement les règles de la prison. Le risque de réitération s'était d'ailleurs en partie déjà concrétisé en prison, où il s'en était pris à un codétenu le 3 juillet 2023, allant jusqu'à le mordre au bras gauche. Il ne reconnaissait ni sa responsabilité réelle, ni le diagnostic posé par les expertes. La cour cantonale a considéré qu'il n'y avait donc pas de place pour une mesure institutionnelle selon l' art. 59 CP et les expertes n'avaient d'ailleurs recommandé aucune des mesures des art. 59 ou 63 CP . Les contrôles d'abstinence apparaissaient totalement insuffisants pour garantir la sécurité publique, ce d'autant plus que le recourant pourrait s'y soustraire. Elle a donc confirmé l'internement.</w:t>
      </w:r>
    </w:p>
    <w:p>
      <w:r>
        <w:rPr>
          <w:b/>
        </w:rPr>
        <w:t>E. 7.3</w:t>
      </w:r>
    </w:p>
    <w:p>
      <w:r>
        <w:t>En l'espèce, il apparaît à la lecture du jugement attaqué (cf. jugement attaqué, consid. 8.2), que la cour cantonale, à l'instar des premiers juges, a prononcé l'internement sur la base de la let. a de l' art. 64 al. 1 CP sans répondre aux exigences spécifiques de cette disposition (cf.</w:t>
      </w:r>
    </w:p>
    <w:p>
      <w:r>
        <w:t>supra consid. 4.1). En effet, en l'absence de trouble avéré de la personnalité dyssociale et en présence d'un syndrome de dépendance à de multiples substances - à supposer qu'il y ait un rapport de causalité entre ce trouble et les faits de la cause (cf.</w:t>
      </w:r>
    </w:p>
    <w:p>
      <w:r>
        <w:t>supra consid. 6.3.1) -, c'est d'abord la question du prononcé d'un éventuel internement au sens de l' art. 64 al. 1 let. b CP qui devait se poser (cf. HEER/HABERMEYER, in Basler Kommentar Strafrecht, n° 45 ad art. 64 CP ; cf. arrêt 6B_655/2024 du 7 février 2025 consid. 1.4), ou d'une mesure thérapeutique institutionnelle, étant rappelé que, selon la jurisprudence, pour prononcer celle-ci, il suffit qu'une possibilité minimale à être motivé pour un traitement thérapeutique soit reconnaissable chez la personne concernée (cf.</w:t>
      </w:r>
    </w:p>
    <w:p>
      <w:r>
        <w:t>supra consid. 7.1). Il appartiendra, le cas échéant, aux expertes de se prononcer sur cette question.</w:t>
      </w:r>
    </w:p>
    <w:p>
      <w:r>
        <w:rPr>
          <w:b/>
        </w:rPr>
        <w:t>E. 8</w:t>
      </w:r>
    </w:p>
    <w:p>
      <w:r>
        <w:t>Dans ces conditions, le recours doit être partiellement admis et la cause renvoyée à l'autorité cantonale pour nouvelle décision dans le sens des considérants (cf.</w:t>
      </w:r>
    </w:p>
    <w:p>
      <w:r>
        <w:t>supra consid. 5.2, 6.3.2 et 7.3). Il incombera en particulier à celle-ci d'ordonner un complément d'expertise pour clarifier la question de l'existence d'un éventuel trouble de la personnalité dyssociale chez le recourant et pour déterminer s'il existe un rapport de connexité entre le (s) trouble (s) et les infractions commises.</w:t>
      </w:r>
    </w:p>
    <w:p>
      <w:r>
        <w:t>Dans un deuxième temps, il incombera à la cour cantonale, sur la base du complément d'expertise et en application de la jurisprudence précitée (cf.</w:t>
      </w:r>
    </w:p>
    <w:p>
      <w:r>
        <w:t>supra consid. 4.1 et 7.1) d'examiner si une mesure est nécessaire et, le cas échéant, si une mesure moins incisive que l'internement peut apparaître utile, compte tenu notamment des troubles d'addiction dont souffre le recourant.</w:t>
      </w:r>
    </w:p>
    <w:p>
      <w:r>
        <w:rPr>
          <w:b/>
        </w:rPr>
        <w:t>E. 9</w:t>
      </w:r>
    </w:p>
    <w:p>
      <w:r>
        <w:t>Le recourant ne conteste pas son expulsion à vie du territoire suisse, de sorte qu'il n'y a pas lieu d'y revenir ( art. 42 al. 2 LTF ).</w:t>
      </w:r>
    </w:p>
    <w:p>
      <w:r>
        <w:rPr>
          <w:b/>
        </w:rPr>
        <w:t>E. 10</w:t>
      </w:r>
    </w:p>
    <w:p>
      <w:r>
        <w:t>Le recours doit être partiellement admis, le jugement attaqué annulé en tant qu'il prononce l'internement et la cause renvoyée à la cour cantonale pour nouvelle décision dans le sens des considérants.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w:t>
      </w:r>
    </w:p>
    <w:p>
      <w:r>
        <w:t>Elle doit être admise pour le surplus, les conditions en étant réunies ( art. 64 al. 1 LTF ). En conséquence, il est dispensé des frais de procédure et Me Annie Schnitzler, désignée en qualité d'avocat d'office ( art. 64 al. 2 LTF ), est indemnisée.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