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632/2019 vom 20. August 2019</w:t>
      </w:r>
    </w:p>
    <w:p>
      <w:r>
        <w:t>Bundesgericht, 2019-08-20, FR</w:t>
      </w:r>
    </w:p>
    <w:p>
      <w:r>
        <w:rPr>
          <w:b/>
        </w:rPr>
        <w:t xml:space="preserve">Quelle: </w:t>
      </w:r>
      <w:r>
        <w:t>https://mcp.opencaselaw.ch/entscheid/bger_6B_632_2019</w:t>
      </w:r>
    </w:p>
    <w:p>
      <w:r>
        <w:t>FR: TF 6B 632/2019 du 20 août 2019</w:t>
      </w:r>
    </w:p>
    <w:p>
      <w:r>
        <w:t>IT: TF 6B 632/2019 del 20 agosto 2019</w:t>
      </w:r>
    </w:p>
    <w:p>
      <w:pPr>
        <w:pStyle w:val="Heading2"/>
      </w:pPr>
      <w:r>
        <w:t>Regeste</w:t>
      </w:r>
    </w:p>
    <w:p>
      <w:r>
        <w:t>Infraction à la LStup, violation du principe in dubio pro reo, fixation de la peine | Infractions</w:t>
      </w:r>
    </w:p>
    <w:p>
      <w:pPr>
        <w:pStyle w:val="Heading2"/>
      </w:pPr>
      <w:r>
        <w:t>Erwägungen</w:t>
      </w:r>
    </w:p>
    <w:p>
      <w:r>
        <w:rPr>
          <w:b/>
        </w:rPr>
        <w:t>E. 1</w:t>
      </w:r>
    </w:p>
    <w:p>
      <w:r>
        <w:t>La recourante invoque un établissement arbitraire des faits ainsi qu'une violation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1.2</w:t>
      </w:r>
    </w:p>
    <w:p>
      <w:r>
        <w:t>La recourante ne revient pas, en tant que telles, sur les transactions de cocaïne qui lui sont reprochées, ni sur l'appréciation des preuves réalisée à cet égard par l'autorité précédente. Elle conteste en revanche qu'un taux de pureté de 31% puisse être retenu.</w:t>
      </w:r>
    </w:p>
    <w:p>
      <w:r>
        <w:rPr>
          <w:b/>
        </w:rPr>
        <w:t>E. 1.2.1</w:t>
      </w:r>
    </w:p>
    <w:p>
      <w:r>
        <w:t>Pour établir le taux de pureté de la cocaïne vendue par la recourante, il paraît que la cour cantonale s'est fondée sur l'analyse réalisée le 27 juillet 2016 par l'Institut de médecine légale de l'Université de Berne (IML) à partir de la drogue séquestrée dans le cadre de l'affaire dite " C.________ ", dont la recourante serait l'une des protagonistes (cf. dossier cantonal, pièce n° 4000-4001; jugement de première instance, p. 3 et 13; arrêt entrepris, consid. 2.8 p. 13). Cette analyse, réalisée selon la méthode " CLHP " (" chromatographie en phase liquide haute performance "), mentionne des taux de pureté de " 35% ", si l'on tient compte de la cocaïne sous sa forme de chlorydrate (" Cocain Hydrochlorid "), et de " 31% (± 3.5%) ", sous sa forme de base (" Cocain Base "). Cela étant, malgré le caractère équivoque de l'analyse réalisée par l'IML quant au taux à prendre en considération, la cour cantonale n'explique pas les raisons pour lesquelles elle n'a pas déduit du taux de 31% finalement retenu, la fraction de 3.5% sus-évoquée, qui par la mention du signe " ± " semble définir une marge d'erreur ou à tout le moins la possibilité d'une variation, alors que la prise en considération d'un taux de pureté de 27.5% (31% - 3.5%) constitue en l'espèce l'hypothèse la plus favorable à la recourante (cf. art. 10 al. 3 CPP ).</w:t>
      </w:r>
    </w:p>
    <w:p>
      <w:r>
        <w:rPr>
          <w:b/>
        </w:rPr>
        <w:t>E. 1.2.2</w:t>
      </w:r>
    </w:p>
    <w:p>
      <w:r>
        <w:t>Compte tenu de 60 grammes de substance brute, la différence entre les taux susceptibles d'être déduits de l'analyse précitée influe sur la qualification juridique de l'infraction. Ainsi, un taux de pureté de 27.5% a pour effet d'exclure l'existence d'un cas aggravé au sens de l' art. 19 al. 2 let. a LStup , les transactions en cause ne portant alors plus que sur 16.5 grammes de substance pure (27.5% x 60 grammes), quantité inférieure à la limite de 18 grammes retenue par la jurisprudence (cf. ATF 138 IV 100 consid. 3.2 p. 103; ATF 109 IV 143 consid. 3b p. 145).</w:t>
      </w:r>
    </w:p>
    <w:p>
      <w:r>
        <w:rPr>
          <w:b/>
        </w:rPr>
        <w:t>E. 1.3</w:t>
      </w:r>
    </w:p>
    <w:p>
      <w:r>
        <w:t>La prise en compte, dans ce contexte, d'un taux de pureté de 31%, soit de 18.6 grammes de substance pure (31% x 60 grammes), viole la présomption d'innocence de la recourante. Le grief est dès lors fondé.</w:t>
      </w:r>
    </w:p>
    <w:p>
      <w:r>
        <w:rPr>
          <w:b/>
        </w:rPr>
        <w:t>E. 1.4</w:t>
      </w:r>
    </w:p>
    <w:p>
      <w:r>
        <w:t>Dans la mesure où, pour le surplus, la cour cantonale ne retient pas qu'un autre cas aggravé (cf. art. 19 al. 2 let. b-d LStup) était réalisé, la condamnation de la recourante en raison de l'infraction prévue à l' art. 19 al. 2 LStup est contraire au droit fédéral.</w:t>
      </w:r>
    </w:p>
    <w:p>
      <w:r>
        <w:rPr>
          <w:b/>
        </w:rPr>
        <w:t>E. 2</w:t>
      </w:r>
    </w:p>
    <w:p>
      <w:r>
        <w:t>Le recours doit donc être admis, l'arrêt entrepris annulé et la cause renvoyée à la cour cantonale pour nouvelle décision. Dès lors qu'il appartiendra à la cour cantonale de fixer la peine de la recourante en relation avec sa condamnation du chef de l' art. 19 al. 1 let . c et d LStup, qui n'est pas contestée, et de statuer à nouveau sur les frais et indemnités, il n'y a pas lieu d'examiner les griefs développés par la recourante en lien avec ces aspects. On relèvera cependant, s'agissant du délai d'épreuve, dont la fixation à la durée maximale de cinq ans (cf. art. 44 al. 1 CP ) est contestée par la recourante, que la cour cantonale devra prendre en considération, le cas échéant, dans son nouvel examen, le fait qu'entre le prononcé de l'arrêt annulé et la notification du présent arrêt, la recourante s'est déjà trouvée en période d'épreuve (cf. ATF 120 IV 172 consid. 2b).</w:t>
      </w:r>
    </w:p>
    <w:p>
      <w:r>
        <w:rPr>
          <w:b/>
        </w:rPr>
        <w:t>E. 3</w:t>
      </w:r>
    </w:p>
    <w:p>
      <w:r>
        <w:t>La recourante qui obtient gain de cause ne supporte pas les frais ( art. 66 al. 1 LTF ) et peut prétendre à une indemnité de dépens à la charge du canton de Fribourg (art. 68 al. 1 et 2), ce qui rend sans objet la requête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