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6B_632/2008 vom 10. März 2009</w:t>
      </w:r>
    </w:p>
    <w:p>
      <w:r>
        <w:t>Bundesgericht, 2009-03-10, FR</w:t>
      </w:r>
    </w:p>
    <w:p>
      <w:r>
        <w:rPr>
          <w:b/>
        </w:rPr>
        <w:t xml:space="preserve">Quelle: </w:t>
      </w:r>
      <w:r>
        <w:t>https://mcp.opencaselaw.ch/entscheid/bger_6B_632_2008</w:t>
      </w:r>
    </w:p>
    <w:p>
      <w:r>
        <w:t>FR: TF 6B_632/2008 du 10 mars 2009</w:t>
      </w:r>
    </w:p>
    <w:p>
      <w:r>
        <w:t>IT: TF 6B_632/2008 del 10 marzo 2009</w:t>
      </w:r>
    </w:p>
    <w:p>
      <w:pPr>
        <w:pStyle w:val="Heading2"/>
      </w:pPr>
      <w:r>
        <w:t>Erwägungen</w:t>
      </w:r>
    </w:p>
    <w:p>
      <w:r>
        <w:rPr>
          <w:b/>
        </w:rPr>
        <w:t>E. 1</w:t>
      </w:r>
    </w:p>
    <w:p>
      <w:r>
        <w:t>La cour cantonale a calculé la quantité de cocaïne pure que le recourant a vendue ou détenue en appliquant aux quantités brutes précitées le taux moyen de pureté sur le marché local au moment des faits, qu'elle a tenu pour égal à 20%. Le recourant soutient qu'elle aurait, ce faisant, violé son droit à l'égalité de traitement ( art. 8 al. 1 Cst. ) parce que, dans un arrêt rendu le même jour que l'arrêt attaqué, dans une autre cause concernant aussi des faits commis à Genève en 2007, la cour cantonale a retenu un taux moyen de pureté sur le marché local de 10%. Il fait aussi valoir qu'en retenant un taux de 20% au lieu de 10%, elle aurait violé la présomption d'innocence ( art. 32 al. 1 Cst. ).</w:t>
      </w:r>
    </w:p>
    <w:p>
      <w:r>
        <w:t>Il est vrai que le taux moyen de pureté sur le marché local est par définition le même pour toutes les affaires portant sur des faits commis en un même lieu et à une même époque. Mais que la cour cantonale ait, peut-être à tort, retenu un taux de 10% dans une autre affaire ne prouve pas que celui de 20% retenu en l'espèce soit erroné, ni, à plus forte raison, qu'il soit arbitraire. En outre, le recourant a caviardé l'indication de la composition dans laquelle l'arrêt qu'il invoque a été rendu. Il n'établit dès lors pas que les magistrats qui ont statué dans sa cause seraient ceux-là mêmes qui, dans l'autre affaire, ont jugé douteux que le taux moyen dépasse 10%. De l'arrêt attaqué, il ressort au contraire que les juges qui l'ont rendu n'avaient aucun doute sur la pertinence d'un taux moyen de 20 à 30%, de sorte qu'en fondant leurs calculs sur le bas de cette fourchette, ils n'ont violé le principe in dubio pro reo ni sous son aspect de règle sur le fardeau de la preuve, ni sous l'aspect de règle sur l'appréciation des preuves. Certes, on pourrait envisager que l' art. 8 al. 1 Cst. confère au recourant un droit à ce qu'un taux de 10% soit retenu, même erroné, s'il était établi que la cour cantonale a pour pratique constante de retenir un taux de 10% pour 2007 (cf., mutatis mutandis, ATF 127 I 1 consid. 3 p. 2 s. et les références). Mais l'unique décision produite à l'appui du recours ne prouve pas l'existence d'une telle pratique. Il s'ensuit que la cour cantonale n'a pas constaté d'une manière contraire aux droits constitutionnels du recourant, ni de façon manifestement inexacte, le taux moyen de pureté de 20% retenu en l'espèce. Dès lors, la constatation de ce taux dans l'arrêt attaqué lie le Tribunal fédéral (art. 105 al. 1 et 2, a contrario, LTF).</w:t>
      </w:r>
    </w:p>
    <w:p>
      <w:r>
        <w:rPr>
          <w:b/>
        </w:rPr>
        <w:t>E. 2</w:t>
      </w:r>
    </w:p>
    <w:p>
      <w:r>
        <w:t>La vente et la détention de produits stupéfiants constituent une infraction à la loi fédérale sur les stupéfiants ( art. 19 ch. 1 al. 4 et 5 LStup ). Cette infraction est qualifiée grave, et elle est plus sévèrement punie, si elle porte sur une quantité de stupéfiants dont l'auteur sait ou ne peut ignorer qu'elle peut mettre en danger la santé de nombreuses personnes ( art. 19 ch. 2 let. a LStup ). Pour la cocaïne, cette dernière condition est objectivement remplie dès que l'infraction porte sur une quantité contenant 18 g de substance pure ( ATF 109 IV 143 consid. 3b p. 145). Si l'auteur commet plusieurs actes distincts, les quantités qui en sont l'objet doivent être additionnées ( ATF 112 IV 109 consid. 2b p. 113).</w:t>
      </w:r>
    </w:p>
    <w:p>
      <w:r>
        <w:t>Dans le cas présent, le recourant a vendu et détenu un total de 113,1 g brut de cocaïne, soit, compte tenu d'un taux de pureté moyen de 20% sur le marché local au moment des faits, 22,62 g de cocaïne pure. Déjà condamné pour infraction à la loi fédérale sur les stupéfiants par le passé, le recourant n'ignorait pas l'opinion du législateur sur la périculosité de la cocaïne. Les conditions de la circonstance aggravante prévue à l' art. 19 ch. 2 let. a LStup sont ainsi toutes remplies. Le recours, mal fondé, doit dès lors être rejeté.</w:t>
      </w:r>
    </w:p>
    <w:p>
      <w:r>
        <w:rPr>
          <w:b/>
        </w:rPr>
        <w:t>E. 3</w:t>
      </w:r>
    </w:p>
    <w:p>
      <w:r>
        <w:t>Comme ses conclusions étaient dénuées de chance de succès, le recourant doit être débouté de sa demande d'assistance judiciaire ( art. 64 al. 1 LTF , a contrario) et supporter les frais de justice ( art. 66 al. 1 LTF ), réduits à 800 fr.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