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6B_631/2024 vom 31. März 2025</w:t>
      </w:r>
    </w:p>
    <w:p>
      <w:r>
        <w:t>Bundesgericht, 2025-03-31, FR</w:t>
      </w:r>
    </w:p>
    <w:p>
      <w:r>
        <w:rPr>
          <w:b/>
        </w:rPr>
        <w:t xml:space="preserve">Quelle: </w:t>
      </w:r>
      <w:r>
        <w:t>https://mcp.opencaselaw.ch/entscheid/bger_6B_631_2024</w:t>
      </w:r>
    </w:p>
    <w:p>
      <w:r>
        <w:t>FR: TF 6B_631/2024 du 31 mars 2025</w:t>
      </w:r>
    </w:p>
    <w:p>
      <w:r>
        <w:t>IT: TF 6B_631/2024 del 31 marzo 2025</w:t>
      </w:r>
    </w:p>
    <w:p>
      <w:pPr>
        <w:pStyle w:val="Heading2"/>
      </w:pPr>
      <w:r>
        <w:t>Erwägungen</w:t>
      </w:r>
    </w:p>
    <w:p>
      <w:r>
        <w:rPr>
          <w:b/>
        </w:rPr>
        <w:t>E. 1</w:t>
      </w:r>
    </w:p>
    <w:p>
      <w:r>
        <w:t>Invoquant une violation de la maxime d'instruction ( art. 6 CPP ), le recourant estime qu'une analyse ADN aurait dû être diligentée pour déterminer la nature des liens familiaux qui unissent l'intimée 1 à sa famille et une expertise médico-légale gynécologique de l'intimée 2 pour combler des lacunes insurmontables contenues dans le rapport du 19 octobre 2021 (cf. rapport du Département de gynécologie et obstétrique du RHNe).</w:t>
      </w:r>
    </w:p>
    <w:p>
      <w:r>
        <w:t>La question relative à une violation du droit à la preuve en tant que telle n'est pas l'objet du jugement entrepris. La décision entreprise n'en dit rien et le recourant n'invoque expressément aucune violation de son droit d'être entendu ( art. 106 al. 2 LTF ). Tel qu'il est articulé, ce grief apparaît ainsi irrecevable devant le Tribunal fédéral, faute d'épuisement préalable des voies de droit cantonales (cf. art. 80 al. 1 LTF ) et compte tenu du principe de la bonne foi en procédure ( art. 5 al. 3 Cst. ; cf. ATF 146 IV 297 consid. 2.2.6).</w:t>
      </w:r>
    </w:p>
    <w:p>
      <w:r>
        <w:rPr>
          <w:b/>
        </w:rPr>
        <w:t>E. 2</w:t>
      </w:r>
    </w:p>
    <w:p>
      <w:r>
        <w:t>Invoquant une violation du principe</w:t>
      </w:r>
    </w:p>
    <w:p>
      <w:r>
        <w:t>in dubio pro reo et l'arbitraire dans l'appréciation des preuves et l'établissement des faits, le recourant conteste la crédibilité des déclarations de l'intimée 1 et de l'intimée 2, partant, sa condamnation pour lésions corporelles simples et qualifiées ( art. 123 ch. 1 et 2 CP ), menaces ( art. 180 CP ), contrainte ( art. 181 CP ), pornographie ( art. 190 al. 1 CP ), actes d'ordre sexuel avec des enfants ( art. 187 ch. 1 CP ), contrainte sexuelle ( art. 189 al. 1 CP ), viol ( art. 190 al. 1 CP ), inceste ( art. 213 al. 1 CP ) et violation du devoir d'assistance ou d'éducation ( art. 219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3.1, 148 IV 409 consid. 2.2; 147 IV 73 consid. 4.1.2).</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 ATF 129 IV 179 consid. 2.4; arrêts 6B_101/2024 du 23 septembre 2024 consid. 1.1.3; 6B_1232/2023 du 18 septembre 2024 consid. 3.1.1).</w:t>
      </w:r>
    </w:p>
    <w:p>
      <w:r>
        <w:t>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 o, conduire à un acquittement. L'appréciation définitive des déclarations des participants incombe au tribunal du fond ( ATF 137 IV 122 consid. 3.3; arrêts 6B_101/2024 du 23 septembre 2024 consid. 1.1.3; 6B_575/2024 du 9 septembre 2024 consid. 1.1.2).</w:t>
      </w:r>
    </w:p>
    <w:p>
      <w:r>
        <w:rPr>
          <w:b/>
        </w:rPr>
        <w:t>E. 2.1.4</w:t>
      </w:r>
    </w:p>
    <w:p>
      <w:r>
        <w:t>Dans une large mesure, le recourant se borne à porter en instance fédérale les griefs soulevés devant la cour cantonale et auxquels cette dernière a répondu de manière exhaustive et convaincante. L'argumentation proposée procède d'une vaste rediscussion des déclarations émises par les parties aux différents stades de la procédure. De tels moyens sont typiquement de nature appellatoire. Ils ne seront traités qu'autant qu'ils n'apparaissent pas d'emblée irrecevables pour cette raison (cf. art. 106 al. 2 LTF ). En tant que le recourant se fonde sur des éléments nouveaux qui ne ressortent pas de l'arrêt entrepris, ses développements sont également irrecevables (cf. art. 99 al. 1 LTF ).</w:t>
      </w:r>
    </w:p>
    <w:p>
      <w:r>
        <w:rPr>
          <w:b/>
        </w:rPr>
        <w:t>E. 2.2</w:t>
      </w:r>
    </w:p>
    <w:p>
      <w:r>
        <w:t>En l'espèce, sur la base des nombreux éléments qu'elle a largement exposés aux pages 19 et suivantes de son jugement, l'autorité cantonale a procédé à un examen des propos du recourant et de ceux des intimées et a évalué leur crédibilité respective; elle a également analysé de manière approfondie l'ensemble des pièces versées au dossier et a fourni des explications circonstanciées sur les raisons qui l'ont conduite à écarter la version du recourant et à retenir celles des intimées. Elle a notamment relevé que les dénégations du recourant étaient contredites par des preuves décisives du dossier, soit les accusations crédibles de l'intimée 2 que le recourant a toujours niées, l'expertise qui conclut à la crédibilité de l'enfant et bat en brèche la thèse d'un complot qui aurait consisté à faire proférer à la fillette de fausses accusations, le témoignage de G.________ qui a confirmé que le recourant - contrairement à ce qu'il affirme - avait des attentes élevées en termes de sexualité, les déclarations de l'intimée 1 allant dans le même sens et ajoutant que le recourant regardait des contenus pornographiques, le constat médical mettant en évidence des traces de coups sur l'intimée 2, alors que le recourant a nié toute violence, le constat gynécologique pratiqué sur l'intimée 2 qui montre que celle-ci a subi des pénétrations vaginales, alors que le recourant nie tout abus sexuel, ainsi que l'examen du contenu du matériel informatique qui était accessible au recourant et qui montre que ce dernier a recherché en anglais des vidéos pornographiques, alors qu'il a soutenu ne jamais avoir regardé ce type de contenu.</w:t>
      </w:r>
    </w:p>
    <w:p>
      <w:r>
        <w:t>En ce qui concerne les propos de l'intimée 1, ils sont tout à fait plausibles et corroborés par ceux de l'ancienne épouse du recourant qui a décrit, sans que les deux femmes ne se soient concertées, le peu de cas que le recourant faisait de ses refus dans le cadre de leur vie intime et le nombre de fois où elle avait dû subir les assauts du recourant. L'intimée 1 n'a entrepris aucune démarche pour se plaindre des agissements du recourant et il est fort probable qu'elle n'eût rien révélé si elle n'avait pas été entendue par la police au sujet des mauvais traitements dénoncés par sa fille. Il ne peut pas être retenu qu'elle eût une quelconque intention de nuire au recourant au moment où elle l'a mis en cause pour viol dans la mesure où ce n'est qu'à la fin de son audition, répondant à une question précise, qu'elle a expliqué avoir subi régulièrement des violences sexuelles. Sa crédibilité s'en trouve renforcée. Il en va de même s'agissant des menaces dont l'intimée 1 avait d'ailleurs fait part à un membre de sa famille. Ses propos sont crédibles.</w:t>
      </w:r>
    </w:p>
    <w:p>
      <w:r>
        <w:t>S'agissant des propos de l'intimée 2 relatifs aux accusations de violence à son encontre et de celle de sa demi-soeur, ils sont également tout à fait plausibles. S'il est exact que la version de l'intimée 2 comprend des épisodes un peu étranges comme le fait qu'elle aurait caressé un poisson ou qu'elle aurait écrasé avec ses pieds des poissons gluants, il n'en demeure pas moins que le constat médical contenu dans le rapport du 27 août 2021 atteste de l'existence de mauvais traitements subis peu de temps avant son audition. En plus d'être plausibles, les déclarations de l'enfant sont corroborées par des preuves matérielles comme des photographies en couleur sur lesquelles on peut voir des traces de coups sur le dos et les flancs de l'enfant. Quant à l'interdiction de consulter des médecins, les déclarations de l'intimée 2 à cet égard sont parfaitement crédibles. Tout particulièrement celles relatives à la réaction du recourant quand il a appris que, le 20 août 2021, les intimées 1 et 2 s'étaient rendues à l'hôpital pour des contrôles sur l'enfant. Il était tellement en colère que mère et fille sont sorties par la porte de derrière et ont passé la nuit ailleurs que chez elles, où elles savaient que le recourant les attendait. À cela s'ajoutent les curieuses déclarations du recourant sur la question des lunettes: "</w:t>
      </w:r>
    </w:p>
    <w:p>
      <w:r>
        <w:t>Non, elle n'en a pas. Elle est claire. Même la semaine passée,</w:t>
      </w:r>
    </w:p>
    <w:p>
      <w:r>
        <w:t>[l'intimée 2] est allée faire un contrôle et elle allait bien. Le médecin lui a donné des lunettes pour essayer, mais elle ne voyait rien avec. Elle n'a donc pas de lunettes. Elle va bien ".</w:t>
      </w:r>
    </w:p>
    <w:p>
      <w:r>
        <w:t>Concernant les propos de l'intimée 2 relatifs aux abus sexuels, ils sont globalement considérés par les experts comme entièrement crédibles. Dans son récit, la fillette a notamment évoqué des épisodes surprenants où il était question de diverses mixtures qui auraient été introduites dans son sexe ou son anus au moyen d'une poire en caoutchouc rose. La survenance de ces faits est très vraisemblable dans la mesure où la simple connaissance de l'existence et du fonctionnement d'une poire pour faire des lavements du vagin ou de l'anus, puis l'évocation du bruit (un "prout") que cela faisait parfois, incluait des détails que l'enfant n'aurait pas pu inventer sans une expérience vécue. Il en va de même quant à ses propos relatifs à la pornographie. La version du recourant, qui nie en consulter alors que l'analyse des supports informatiques démontre le contraire et qui s'est débarrassé de son smartphone juste avant son arrestation, ne présente que peu de crédibilité.</w:t>
      </w:r>
    </w:p>
    <w:p>
      <w:r>
        <w:t>En définitive, l'autorité précédente s'est dite convaincue que le recourant avait imposé à l'intimée 1 l'acte sexuel depuis quatre ans, à raison de deux fois par mois, et qu'il l'avait menacée de mort. Puis, concernant l'intimée 2, qu'il lui avait imposé l'acte sexuel durant deux ans et en tout cas une fois par mois (entre sept et neuf ans), soit en tout cas à une vingtaine de reprises (régulièrement des viols, soit en moyenne une fois par mois, cinq épisodes de sodomie et au moins une fellation), qu'il lui avait montré des images pornographiques, qu'il l'avait empêchée d'aller chez le médecin et qu'il lui avait fait subir des violences à elle et sa demi-soeur. Quant aux chefs d'accusation d'inceste et de violation du devoir d'assistance et d'éducation, la cour cantonale a jugé que les critiques du recourant n'avaient pas lieu d'être dans la mesure où il avait imposé l'acte sexuel à maintes reprises à sa fille et qu'il s'était opposé à ce qu'elle soit correctement suivie sur le plan médical.</w:t>
      </w:r>
    </w:p>
    <w:p>
      <w:r>
        <w:rPr>
          <w:b/>
        </w:rPr>
        <w:t>E. 2.3</w:t>
      </w:r>
    </w:p>
    <w:p>
      <w:r>
        <w:t>De manière générale, le recourant se borne à opposer sa propre appréciation des preuves à celle opérée par la cour cantonale, sans toutefois démontrer en quoi son raisonnement serait manifestement insoutenable, en se fondant notamment sur des faits qui ne ressortent pas du jugement entrepris ou qui ne sont pas susceptibles d'influer sur le sort de la cause. Il en va en particulier ainsi lorsqu'il remet en question la nature des relations familiales de l'intimée 1, qu'il indique que s'il avait voulu se débarrasser de son Iphone, il aurait plutôt soutenu à la police qu'il l'avait oublié dans le train ou qu'il se l'était fait dérober, que si l'intimée 2 avait été confrontée à des images ou vidéos à caractère pornographique, cela aurait pu être après avoir cliqué d'elle-même sur des publicités de cette nature, que si elle avait été victime de viols à répétition durant deux années, cela aurait inévitablement causé des lésions bien plus visibles, à commencer par une déchirure beaucoup plus caractéristique de l'hymen, que des épisodes de sodomie auraient laissé des stigmates plus importants sur le corps d'un si jeune enfant, que s'il avait menacé l'intimée 1, elle ne l'aurait pas laissé garder sa fille sans surveillance et ne lui aurait pas donné les clés de son nouvel appartement ou que si E.E.________ avait été battue, sa mère l'aurait forcément remarqué et ne serait pas restée passive. Par ailleurs, on peine à comprendre l'argument du recourant tendant à dire que l'intimée 2 subirait un important conflit parental car elle serait ambivalente dans ses propos (lorsqu'elle décrirait son père de "jeune et pas jeune" ou de "gentil à l'extérieur et méchant à l'intérieur").</w:t>
      </w:r>
    </w:p>
    <w:p>
      <w:r>
        <w:t>Les allégations du recourant selon lesquelles les recherches et consultations de sites pornographiques pourraient être le fait d'un tiers, qui aurait été précédemment en possession d'un des ordinateurs analysés, ou de l'intimée 1 ou du frère de celle-ci, sont uniquement destinées à accréditer sa version des faits et ne repose sur aucun élément tangible susceptible de démontrer l'arbitraire de l'appréciation de la cour cantonale. Contrairement à ce qu'affirme le recourant, le fait de ne pas avoir retrouvé du contenu pédopornographique durant l'enquête ne suffit pas à cet égard.</w:t>
      </w:r>
    </w:p>
    <w:p>
      <w:r>
        <w:t>Le recourant ne démontre pas non plus l'arbitraire du raisonnement cantonal, lorsqu'il propose des scénarios alternatifs pour expliquer les origines de l'anomalie morphologique vaginale de l'intimée 2 (cf. rapport du 19 octobre 2021 du Département de gynécologie et obstétrique du RHNe) - infections intimes à répétition, pénétration digitale et non pénienne, etc. - et les connaissances de cette dernière de la "mécanique sexuelle" qui résulteraient de la confrontation à des vidéos à caractère pornographique et non d'une expérience vécue.</w:t>
      </w:r>
    </w:p>
    <w:p>
      <w:r>
        <w:t>Le recourant cite encore certains passages des rapports médicaux et des procès-verbaux d'audition en les sortant de leur contexte ou en les retranscrivant de façon partielle pour affirmer qu'ils corroboreraient sa version. Ce faisant, il ne parvient pas non plus à démontrer le caractère prétendument arbitraire de l'appréciation des preuves effectuée par la cour cantonale. Pour le surplus, le recourant se contente de mettre en exergue des ambivalences, des variations et/ou des légères imprécisions dans les déclarations de l'intimée 2, qui portent, quoi qu'il en dise, sur des éléments secondaires et dont l'autorité précédente a de manière générale tenu compte, sans parvenir à remettre en cause l'appréciation des preuves effectuée par cette autorité, respectivement la version des faits donnée par la victime.</w:t>
      </w:r>
    </w:p>
    <w:p>
      <w:r>
        <w:t>Pour le reste, la cour cantonale pouvait, conformément au principe de la libre appréciation des preuves ( art. 10 al. 2 CPP ), se fonder sur un faisceau d'indices convergents pour retenir la culpabilité du recourant. À cet égard,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(arrêt 6B_1370/2023 du 7 août 2024 consid. 2.1.1 et les références citées). Or le recourant ne démontre pas qu'il était insoutenable - et il n'apparaît pas que tel soit le cas - de considérer, sur la base du rapprochement de l'ensemble des éléments retenus par la cour cantonale (cf.</w:t>
      </w:r>
    </w:p>
    <w:p>
      <w:r>
        <w:t>supra consid. 2.2), que les faits s'étaient déroulés comme les intimées 1 et 2 les décrivaient et que le recourant en était l'auteur. Enfin, au vu de ce qui précède, il n'a pas lieu de douter des déclarations de l'intimée 2 concernant les violences subies par sa demi-soeur qui a saigné du nez au moins une fois à la suite d'un coup porté par son père.</w:t>
      </w:r>
    </w:p>
    <w:p>
      <w:r>
        <w:rPr>
          <w:b/>
        </w:rPr>
        <w:t>E. 2.4</w:t>
      </w:r>
    </w:p>
    <w:p>
      <w:r>
        <w:t>En définitive, au vu des éléments à sa disposition, la cour cantonale pouvait retenir, sans arbitraire et sans violer la présomption d'innocence, que le recourant avait commis les actes reprochés. Pour autant que recevable, le recours s'avère ainsi infondé sur ce point.</w:t>
      </w:r>
    </w:p>
    <w:p>
      <w:r>
        <w:rPr>
          <w:b/>
        </w:rPr>
        <w:t>E. 3</w:t>
      </w:r>
    </w:p>
    <w:p>
      <w:r>
        <w:t>Le recourant ne formule aucune critique en droit quant à la réalisation des éléments constitutifs des infractions pour lesquelles il a été condamné. Il ne s'en prend pas non plus à la peine qui lui a été infligée ni à l'expulsion prononcée. La cause ne sera dès lors pas revue sous ces angles ( art. 42 al. 2 LTF ).</w:t>
      </w:r>
    </w:p>
    <w:p>
      <w:r>
        <w:t>Quant aux griefs relatifs aux conclusions civiles et à l'indemnité pour détention injustifiée, ils sont sans objet dans la mesure où ils reposent sur les prémisses d'un acquittement.</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