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630/2020 vom 6. Oktober 2020</w:t>
      </w:r>
    </w:p>
    <w:p>
      <w:r>
        <w:t>Bundesgericht, 2020-10-06, FR</w:t>
      </w:r>
    </w:p>
    <w:p>
      <w:r>
        <w:rPr>
          <w:b/>
        </w:rPr>
        <w:t xml:space="preserve">Quelle: </w:t>
      </w:r>
      <w:r>
        <w:t>https://mcp.opencaselaw.ch/entscheid/bger_6B_630_2020</w:t>
      </w:r>
    </w:p>
    <w:p>
      <w:r>
        <w:t>FR: TF 6B 630/2020 du 6 octobre 2020</w:t>
      </w:r>
    </w:p>
    <w:p>
      <w:r>
        <w:t>IT: TF 6B 630/2020 del 6 ottobre 2020</w:t>
      </w:r>
    </w:p>
    <w:p>
      <w:pPr>
        <w:pStyle w:val="Heading2"/>
      </w:pPr>
      <w:r>
        <w:t>Regeste</w:t>
      </w:r>
    </w:p>
    <w:p>
      <w:r>
        <w:t>Maxime d'accusation ; arbitraire ; violation grave des règles de la circulation routière ; prescription | Procédure pénale</w:t>
      </w:r>
    </w:p>
    <w:p>
      <w:pPr>
        <w:pStyle w:val="Heading2"/>
      </w:pPr>
      <w:r>
        <w:t>Erwägungen</w:t>
      </w:r>
    </w:p>
    <w:p>
      <w:r>
        <w:rPr>
          <w:b/>
        </w:rPr>
        <w:t>E. 1</w:t>
      </w:r>
    </w:p>
    <w:p>
      <w:r>
        <w:t>Le recourant reproche à la cour cantonale d'avoir violé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6B_152/2020 du 1er avril 2020 consid. 2.1; 6B_1142/2019 du 2 mars 2020 consid. 3.1;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6B_125/2020 du 8 juin 2020 consid. 1.1; 6B_152/2020 précité consid. 2.1). L'acte d'accusation définit l'objet du procès et sert également à informer le prévenu (fonction de délimitation et d'information) ( ATF 143 IV 63 consid. 2.2 p. 65; 141 IV 132 consid. 3.4.1 p. 142 s. et les références citées).</w:t>
      </w:r>
    </w:p>
    <w:p>
      <w:r>
        <w:rPr>
          <w:b/>
        </w:rPr>
        <w:t>E. 1.2</w:t>
      </w:r>
    </w:p>
    <w:p>
      <w:r>
        <w:t>Le recourant soutient en substance que l'autorité précédente aurait retenu à sa charge des éléments qui ne figuraient pas dans l'ordonnance pénale ayant tenu lieu d'acte d'accusation - soit l'existence de travaux sur la chaussée à l'endroit où a été commis l'excès de vitesse - pour fonder une condamnation à titre de l' art. 90 al. 2 LCR . L'ordonnance pénale du 30 janvier 2017 décrivait comme suit l'infraction en question : "Il est reproché [au recourant] [...] d'avoir, à B.________, le 10 juin 2016, [...] circulé au volant du véhicule automobile [...] à la vitesse de 117 km/h, alors que la vitesse maximale autorisée à cet endroit est de 80 km/h, d'où un dépassement de 33 km/h (marge de sécurité déduite)." Après que le recourant eut formé opposition contre cette ordonnance pénale, le ministère public a rendu une "ordonnance sur opposition" du 26 juin 2019. Il y était notamment indiqué ce qui suit : "Qu'en l'espèce, le [recourant] a commis un excès de vitesse sur un tronçon autoroutier qui était limité à une vitesse maximale de 80 km/h en raison de travaux; Qu'à ce titre, l'Arrêté fédéral du 10 mars 2016 [...] prévoyait qu'en raison de travaux, la vitesse maximale autorisée était limitée, sur le tronçon concerné par le chantier, à 80 km/h durant toute la durée des travaux, [...] afin de renforcer la sécurité des usagers de la route et des ouvriers sur le chantier et que ces restrictions de circulation étaient signalisées et marquées et s'appliquaient dès la mise en place de la signalisation, prévue le 1er avril 2016 jusqu'à la fin des travaux prévue le 30 avril 2017." Le ministère public a exposé, au terme de cette ordonnance, qu'il maintenait l'ordonnance pénale du 30 janvier 2017 et transmettait le dossier au tribunal de première instance, en application des art. 355 al. 1 et 3 let. a et 356 al. 1 CPP. Au vu de ce qui précède, on peut se demander si, comme le suggère le recourant, le ministère public n'aurait pas dû rendre une nouvelle ordonnance pénale - comprenant les précisions figurant dans l'ordonnance du 26 juin 2019 -, conformément à l' art. 355 al. 3 let . c CPP, dès lors qu'il estimait que des éléments factuels supplémentaires devaient permettre de retenir l'infraction concernée à la charge de l'intéressé. Peu importe en l'occurrence, car, comme l'admet le recourant, tous les éléments constitutifs de l'infraction à l' art. 90 al. 2 LCR ressortent de l'ordonnance du 26 juin 2019. Le ministère public n'a pas ajouté les précisions litigieuses dans un simple courrier, mais dans une ordonnance qui, avec l'ordonnance pénale du 30 janvier 2017, a été adressée au tribunal de première instance en vue des débats. Dès lors, le recourant ne pouvait ignorer ce qui lui était reproché, notamment en lien avec la présence de travaux sur le tronçon où a été commis l'excès de vitesse. L'ordonnance pénale du 30 janvier 2017, accompagnée de l'ordonnance du 26 juin 2019, a ainsi permis au recourant d'être précisément renseigné - avant l'ouverture des débats de première instance - sur les agissements qui lui étaient reprochés. L'intéressé a pu préparer sa défense en conséquence et a d'ailleurs pu s'exprimer sur la question de la présence de travaux sur la chaussée à l'époque des faits, durant les débats de première instance (cf. PV du 15 octobre 2019, p. 3). Il n'apparaît pas que le recourant aurait été confronté pour la première fois durant les débats de première instance à des éléments nouveaux de l'accusation, ni qu'il aurait été surpris ou pris de court à cet égard (cf. ATF 143 IV 63 consid. 2.2 p. 65; 120 IV 348 consid. 3g p. 357). La cour cantonale n'a donc pas violé la maxime d'accusation. Le grief doit être rejeté.</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Le recourant conteste qu'un chantier eût été présent sur la chaussée où a été commis son excès de vitesse, au moment de l'infraction. Sur ce point, l'autorité précédente a exposé qu'aucun élément de chantier ne se distinguait sur la photographie versée au dossier, laquelle - compte tenu du but d'identification du conducteur - ne laissait apparaître qu'une infime portion de la chaussée. Cependant, l'excès de vitesse avait été commis sur un tronçon et durant la période concernée par la décision de l'Office fédéral des routes du 10 mars 2016, rendue en raison d'un chantier. Il ressortait d'ailleurs d'un article de presse versé à la procédure que des travaux avaient alors bien lieu sur le tronçon concerné. Ceux-ci étaient certes effectués principalement de nuit, ce qui n'excluait pas qu'ils le fussent également de jour. De toute manière, le matériel stocké ne disparaissait pas durant la journée et constituait une source de distraction pour les conducteurs. En l'occurrence, des travaux devaient avoir lieu - sur le tronçon concerné - du 1er avril 2016 au 30 avril 2017. Il ressort de l'article de presse présent au dossier, datant de décembre 2016, que, depuis le 1er avril 2016, de nombreux retraits de permis de circulation avaient été prononcés en raison d'excès de vitesse sur cette portion d'autoroute faisant l'objet de travaux. Au vu de ce qui précède, il pouvait être retenu, sans arbitraire, que le tronçon concerné faisait l'objet de travaux à l'époque où l'infraction a été commise. Peu importe que le recourant n'eût alors pas remarqué de chantier et qu'il n'eût pas pu être établi comment celui-ci se déployait précisément le jour des faits, ces aspects n'étant pas propres à influer sur le sort de la cause (cf. art. 97 al. 1 LTF ), compte tenu de ce qui suit (cf. consid. 3.2 infra).</w:t>
      </w:r>
    </w:p>
    <w:p>
      <w:r>
        <w:rPr>
          <w:b/>
        </w:rPr>
        <w:t>E. 3</w:t>
      </w:r>
    </w:p>
    <w:p>
      <w:r>
        <w:t>Le recourant conteste sa condamnation à titre de l' art. 90 al. 2 LCR .</w:t>
      </w:r>
    </w:p>
    <w:p>
      <w:r>
        <w:rPr>
          <w:b/>
        </w:rPr>
        <w:t>E. 3.1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 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6B_1445/2019 du 17 avril 2020 consid. 2.2; 6B_1300/2016 du 5 décembre 2017 consid. 2.1.2 non publié aux ATF 143 IV 500 ). Plus la violation de la règle de la circulation est objectivement grave, plus on admettra l'existence d'une absence de scrupule, sauf indice particulier permettant de retenir le contraire ( ATF 142 IV 93 consid. 3.1 p. 96). Dans le domaine des excès de vitesse, la jurisprudence a été amenée à fixer des règles précises afin d'assurer l'égalité de traitement.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132 II 234 consid. 3.1 p. 237 s.; 124 II 259 consid. 2b p. 261 ss; 123 II 106 consid. 2c p. 113 et les références citées). 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Dans certaines situations,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 ATF 128 II 131 consid. 2b p. 132 s.; arrêt 6B_444/2016 du 3 avril 2017 consid. 1.3.1).</w:t>
      </w:r>
    </w:p>
    <w:p>
      <w:r>
        <w:rPr>
          <w:b/>
        </w:rPr>
        <w:t>E. 3.2</w:t>
      </w:r>
    </w:p>
    <w:p>
      <w:r>
        <w:t>L'autorité précédente a tout d'abord indiqué que le tronçon sur lequel avait été commis l'excès de vitesse était, à l'époque des faits, limité à 80 km/h. Il convenait donc, en application de la jurisprudence, d'assimiler ledit tronçon d'autoroute à une route située en dehors d'une localité. Par conséquent, le dépassement de vitesse constaté avait été supérieur au seuil de 30 km/h pertinent pour les routes hors des localités et devait être objectivement qualifié de grave. La cour cantonale a ensuite exposé que le recourant avait agi intentionnellement, ou à tout le moins par négligence grossière. Aucune circonstance ne permettait d'admettre l'absence de scrupules. En effet, la limitation de vitesse était destinée à protéger les usagers de la route et les ouvriers, aux abords et sur le chantier. Le recourant devait tenir compte d'une présence à tout le moins potentielle d'ouvriers au moment où il avait commis son excès de vitesse, de sorte que celui-ci devait être qualifié de grave au regard de l' art. 90 al. 2 LCR . Le recourant conteste cette appréciation, en relevant qu'il n'a, au moment des faits, perçu aucun chantier ni autre obstacle sur la chaussée. Il en déduit qu'il s'agirait d'un cas dans lequel, malgré le dépassement de vitesse mesuré, aucun danger grave n'aurait existé. Certes, la jurisprudence admet que, dans des circonstances exceptionnelles, il y a lieu d'exclure l'application du cas grave alors même que le seuil de l'excès de vitesse fixé a été atteint (cf. ATF 143 IV 508 consid. 1.3 p. 512 s.).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précité), ou encore lorsque la limitation de vitesse violée relevait notamment de mesures de modération du trafic (arrêt 6B_622/2009 du 23 octobre 2009 consid. 3.5; cf. aussi ATF 143 IV 508 consid. 1.3 p. 512 s.). Or, en l'espèce, la limitation de vitesse sur le tronçon concerné avait pour objectif la sécurité routière, en raison des travaux effectués à l'époque en cause. Indépendamment du déploiement concret du chantier à l'endroit précis et au moment où le recourant a commis son excès de vitesse, il a pu être établi - sans arbitraire - que des travaux étaient en cours sur le tronçon en question (cf. consid. 2.2 supra). Compte tenu de ces circonstances et du motif pour lequel la vitesse maximale autorisée avait été abaissée à 80 km/h, le recourant ne pouvait partir du principe qu'il ne créait aucun danger particulier simplement car des travaux n'auraient pas été accomplis de manière visible pour lui au moment où il a parcouru le tronçon en question. La situation ne saurait, par conséquent, en aucune manière être assimilée à celles dans lesquelles le Tribunal fédéral a exceptionnellement exclu la réalisation d'un cas grave alors même que le seuil déterminant avait été atteint. La cour cantonale n'a donc pas violé le droit fédéral en condamnant le recourant sur la base de l' art. 90 al. 2 LCR . Le grief doit être rejeté.</w:t>
      </w:r>
    </w:p>
    <w:p>
      <w:r>
        <w:rPr>
          <w:b/>
        </w:rPr>
        <w:t>E. 4</w:t>
      </w:r>
    </w:p>
    <w:p>
      <w:r>
        <w:t>Le recourant soutient enfin que la cour cantonale aurait dû classer la procédure conduite à son encontre, dans la mesure où, lorsque le tribunal de première instance l'a condamné pour infraction à l' art. 90 al. 1 LCR , la prescription de l'action pénale avait été atteinte. Cette argumentation suppose que le recourant aurait commis une simple contravention (cf. art. 109 CP cum art. 90 al. 1 LCR ). Or, il n'apparaît pas que la prescription de l'action pénale aurait pu être atteinte s'agissant d'une violation grave des règles de la circulation routière, pour laquelle le recourant a en définitive été condamné (cf. art. 97 al. 1 let . c CP cum art. 90 al. 2 LCR ). Le grief tombe donc à faux.</w:t>
      </w:r>
    </w:p>
    <w:p>
      <w:r>
        <w:rPr>
          <w:b/>
        </w:rPr>
        <w:t>E. 5</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