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6B_628/2022 vom 22. März 2023</w:t>
      </w:r>
    </w:p>
    <w:p>
      <w:r>
        <w:t>Bundesgericht, 2023-03-22, DE</w:t>
      </w:r>
    </w:p>
    <w:p>
      <w:r>
        <w:rPr>
          <w:b/>
        </w:rPr>
        <w:t xml:space="preserve">Quelle: </w:t>
      </w:r>
      <w:r>
        <w:t>https://mcp.opencaselaw.ch/entscheid/bger_6B_628_2022</w:t>
      </w:r>
    </w:p>
    <w:p>
      <w:r>
        <w:t>FR: TF 6B_628/2022 du 22 mars 2023</w:t>
      </w:r>
    </w:p>
    <w:p>
      <w:r>
        <w:t>IT: TF 6B_628/2022 del 22 marzo 2023</w:t>
      </w:r>
    </w:p>
    <w:p>
      <w:pPr>
        <w:pStyle w:val="Heading2"/>
      </w:pPr>
      <w:r>
        <w:t>Erwägungen</w:t>
      </w:r>
    </w:p>
    <w:p>
      <w:r>
        <w:rPr>
          <w:b/>
        </w:rPr>
        <w:t>E. 1</w:t>
      </w:r>
    </w:p>
    <w:p>
      <w:r>
        <w:t>Die Beschwerde gegen einen Entscheid ist innert 30 Tagen nach der Eröffnung der vollständigen Ausfertigung beim Bundesgericht einzureichen ( Art. 100 Abs. 1 BGG ). Der angefochtene Beschluss wurde der Beschwerdeführerin am 13. April 2022 eröffnet. Die Beschwerdeführerin hat ihre Beschwerdeergänzungen inklusive Beilagen erst am 11. Oktober 2022 bzw. am 8. Februar 2023 und damit verspätet eingereicht, womit sie für die Beurteilung der Beschwerde unbeachtlich sind. Folglich braucht nicht geprüft zu werden, ob es sich dabei um ausnahmsweise zulässige Noven handelt.</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w:t>
      </w:r>
    </w:p>
    <w:p>
      <w:r>
        <w:t>Als Privatklägerschaft gilt die geschädigte Person, die ausdrücklich erklärt, sich am Strafverfahren als Straf- oder Zivilklägerin zu beteiligen ( Art. 118 Abs. 1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147 IV 269 E. 3.1; 145 IV 491 E. 2.3; 143 IV 77 E. 2.2; je mit Hinweisen).</w:t>
      </w:r>
    </w:p>
    <w:p>
      <w:r>
        <w:t>Bei den Zivilansprüchen im Sinne von Art. 81 Abs. 1 lit. b Ziff. 5 BGG geht es in erster Linie um Ansprüche aus der Straftat auf Schadenersatz und Genugtuung gemäss Art. 41 ff. OR , die üblicherweise vor den Zivilgerichten geltend gemacht werden müssen ( BGE 146 IV 76 E. 3.1;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2.2.1</w:t>
      </w:r>
    </w:p>
    <w:p>
      <w:r>
        <w:t>Die Beschwerdeführerin führt zur Beschwerdelegitimation hinsichtlich der Körperverletzung aus, sie sei Pflegehelferin und eine sorgfaltswidrig ungesicherte Treppe mit elf Stufen am Arbeitsplatz hinuntergestützt. Sie werde voraussichtlich bleibend in ihrem Beruf invalid sein und ihr wirtschaftliches Fortkommen werde durch die erlittenen Verletzungen erheblich erschwert. Zudem erleide sie auch eine immaterielle Unbill. Der angefochtene Entscheid kann sich auf allfällige, damit zusammenhängende Schadenersatz- und/oder Genugtuungsansprüche der Beschwerdeführerin auswirken. Auf die Beschwerde ist daher in diesem Punkt - unter Vorbehalt hinreichend begründeter Rügen ( Art. 42 Abs. 2 und Art. 106 Abs. 2 BGG ) - einzutreten.</w:t>
      </w:r>
    </w:p>
    <w:p>
      <w:r>
        <w:rPr>
          <w:b/>
        </w:rPr>
        <w:t>E. 2.2.2</w:t>
      </w:r>
    </w:p>
    <w:p>
      <w:r>
        <w:t>Die Beschwerdeführerin ist zudem der Auffassung, ihr stünden wegen übler Nachrede, sie lüge in Bezug auf die von ihr erbrachten Überstunden, Genugtuungsansprüche gegenüber den Angeschuldigten und der Arbeitgeberin zu. Nach Art. 49 OR ist eine Genugtuung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vorliegend die angebliche Persönlichkeitsverletzung objektiv und subjektiv schwer wiegt (vgl. Urteil 6B_6/2021 vom 26. Oktober 2022 E. 1.3.3 mit Hinweisen), ist weder dargelegt noch ist dies leichthin ersichtlich. Darauf kann deshalb nicht eingetreten werden.</w:t>
      </w:r>
    </w:p>
    <w:p>
      <w:r>
        <w:rPr>
          <w:b/>
        </w:rPr>
        <w:t>E. 3.1</w:t>
      </w:r>
    </w:p>
    <w:p>
      <w:r>
        <w:t>Die Beschwerdeführerin rügt, die Nichtanhandnahme verstosse angesichts der schweren Körperverletzung gegen die in BGE 137 IV 285 S. 287 entwickelten Grundsätze. Sinngemäss macht die Beschwerdeführerin eine Verletzung von Art. 310 Abs. 1 lit. a StPO geltend. Es liege eindeutig mindestens ein Zweifelsfall vor. Die fehlende Einhaltung der Vorschriften über die Arbeitssicherheit habe vorliegend den Eintritt der schweren Körperverletzung begünstigt und die unterlassene Sicherung sei natürlich kausal zum Sturz über elf Stufen, ohne Möglichkeit, sich zu halten, mit schweren Verletzungsfolgen.</w:t>
      </w:r>
    </w:p>
    <w:p>
      <w:r>
        <w:rPr>
          <w:b/>
        </w:rPr>
        <w:t>E. 3.2.1</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Danach darf die Nichtanhandnahme gestützt auf Art. 310 Abs. 1 lit. a StPO nur in sachverhaltsmässig und rechtlich klaren Fällen ergehen ( BGE 143 IV 241 E. 2.3.2; 138 IV 86 E. 4.1.1; Urteil 6B_258/2022 vom 12. Januar 2023 E. 3.2.3; je mit Hinweisen).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Im Zweifelsfall, wenn die Gründe der Nichtanhandnahme nicht mit absoluter Sicherheit gegeben sind, muss das Verfahren eröffnet werden ( BGE 137 IV 285 E. 2.3 mit Hinweisen; Urteil 6B_158/2021 vom 2. Mai 2022 E. 2.4.1).</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 6B_258/2022 vom 12. Januar 2023 E. 3.2.3; je mit Hinweisen).</w:t>
      </w:r>
    </w:p>
    <w:p>
      <w:r>
        <w:rPr>
          <w:b/>
        </w:rPr>
        <w:t>E. 3.2.2</w:t>
      </w:r>
    </w:p>
    <w:p>
      <w:r>
        <w:t>Der fahrlässigen Körperverletzung gemäss Art. 125 Abs. 1 StGB macht sich schuldig, wer fahrlässig einen Menschen am Körper oder an der Gesundheit schädigt. Ist die Schädigung schwer, wird der Täter von Amtes wegen verfolgt (Abs. 2).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die Verletzung einer Sorgfaltspflicht verursacht hat.</w:t>
      </w:r>
    </w:p>
    <w:p>
      <w:r>
        <w:t>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 BGE 143 IV 138 E. 2.1; 135 IV 56 E. 2.1; 133 IV 158 E. 5.1; je mit Hinweisen).</w:t>
      </w:r>
    </w:p>
    <w:p>
      <w:r>
        <w:t>Erforderlich ist zudem ein natürlicher und adäquater Kausalzusammenhang ( BGE 133 IV 158 E. 6.1). Der adäquate Kausalzusammenhang ist zu bejahen, wenn das Verhalten geeignet war, nach dem gewöhnlichen Lauf der Dinge und den Erfahrungen des Lebens einen Erfolg wie den eingetretenen herbeizuführen oder mindestens zu begünstigen ( BGE 138 IV 57 E. 4.1.3; 135 IV 56 E. 2.1; 133 IV 158 E. 6.1).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134 IV 255 E. 4.4.2; 133 IV 158 E. 6.1; je mit Hinweisen).</w:t>
      </w:r>
    </w:p>
    <w:p>
      <w:r>
        <w:rPr>
          <w:b/>
        </w:rPr>
        <w:t>E. 3.2.3</w:t>
      </w:r>
    </w:p>
    <w:p>
      <w:r>
        <w:t>Gemäss Art. 59 Abs. 1 lit. a des Bundesgesetzes über die Arbeit in Industrie, Gewerbe und Handel vom 13. März 1964 (Arbeitsgesetz, ArG; SR 822.11) ist der Arbeitgeber strafbar, wenn er den Vorschriften über den Gesundheitsschutz und die Plangenehmigung vorsätzlich oder fahrlässig zuwiderhandelt. Der Arbeitgeber ist verpflichtet, zum Schutze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 Art. 6 Abs. 1 ArG ). Der Arbeitgeber hat insbesondere die betrieblichen Einrichtungen und den Arbeitsablauf so zu gestalten, dass Gesundheitsgefährdungen und Überbeanspruchungen der Arbeitnehmer nach Möglichkeit vermieden werden ( Art. 6 Abs. 2 ArG ). Der Arbeitgeber muss alle Anordnungen erteilen und alle Massnahmen treffen, die nötig sind, um den Schutz der physischen und psychischen Gesundheit zu wahren und zu verbessern ( Art. 2 Abs. 1 Satz 1 der Verordnung 3 zum Arbeitsgesetz vom 18. August 1993 [Gesundheitsschutz, ArGV 3; SR 822.113] ).</w:t>
      </w:r>
    </w:p>
    <w:p>
      <w:r>
        <w:rPr>
          <w:b/>
        </w:rPr>
        <w:t>E. 3.3</w:t>
      </w:r>
    </w:p>
    <w:p>
      <w:r>
        <w:t>Mit Bezug auf eine mögliche Verletzung des Arbeitsgesetzes wegen Fehlen eines Handlaufs erachtet die Vorinstanz die Beschwerde der Beschwerdeführerin als begründet und heisst sie gut. Demgegenüber hält sie die (hypothetische) Kausalität zwischen dem fehlenden Handlauf und einer damit zusammenhängenden möglichen Sorgfaltspflichtverletzung der Beschwerdegegnerinnen 2 und 3 und der von der Beschwerdeführerin erlittenen Körperverletzung als nicht nachweisbar.</w:t>
      </w:r>
    </w:p>
    <w:p>
      <w:r>
        <w:rPr>
          <w:b/>
        </w:rPr>
        <w:t>E. 3.4</w:t>
      </w:r>
    </w:p>
    <w:p>
      <w:r>
        <w:t>Die Rüge der Beschwerdeführerin ist begründet. Es liegt kein sachverhaltsmässig und rechtlich klarer Fall von Straflosigkeit vor. Die vorinstanzliche Begründung basiert auf einer Mutmassung und greift zu kurz. Nicht geklärt ist, weshalb die Beschwerdeführerin gestürzt ist. Zu untersuchen ist nicht nur, ob den Beschwerdegegnerinnen 2 und 3 wegen des fehlenden Handlaufs arbeitsgesetzliche Pflichtverletzungen vorzuwerfen sind, sondern auch, ob diese Pflichtverletzungen den Sturz der Beschwerdeführerin und damit ihre Verletzungsfolgen verursacht oder begünstigt haben könnten bzw. ob pflichtgemässes Verhalten die Verletzungsfolgen hätte verhindern oder abschwächen können. Daran ändert nichts, wenn die Beschwerdeführerin durch ein allfälliges unachtsames Verhalten möglicherweise eine Mitursache des Sturzes gesetzt haben sollt e. Das Strafrecht kennt keine Verschuldenskompensation ( BGE 122 IV 17 E. 2c.bb; Urteil 6B_158/2021 vom 2. Mai 2022 E. 2.5). Mangels Untersuchung der Pflichtverletzung wie auch des Un fallhergangs kann nicht gesagt werden, es sei mit Sicherheit mit einem Freispruch zu rechnen. Die vorinstanzlich geschützte Nichtanhandnahme des Vorwurfs der fahrlässigen Körperverletzung verletzt Art. 310 Abs. 1 lit. a StPO .</w:t>
      </w:r>
    </w:p>
    <w:p>
      <w:r>
        <w:rPr>
          <w:b/>
        </w:rPr>
        <w:t>E. 4</w:t>
      </w:r>
    </w:p>
    <w:p>
      <w:r>
        <w:t>Die Beschwerde ist gutzuheissen, soweit darauf eingetreten werden kann. Der angefochtene Entscheid ist aufzuheben und die Sache ist zur Neuregelung der Kosten- und Entschädigungsfolgen an die Vorinstanz sowie zur Eröffnung einer Strafuntersuchung an die Staatsanwaltschaft zurückzuweisen. Es sind keine Gerichtskosten zu erheben ( Art. 66 Abs. 1 und 4 BGG ). Der Kanton Bern hat die Beschwerdeführerin für das bundesgerichtliche Verfahren angemessen zu entschädigen ( Art. 68 Abs. 1 BGG ). Den Beschwerdegegnerinnen 2 und 3 sind vor Bundesgericht keine entschädigungswürdigen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