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628/2008 vom 12. September 2008</w:t>
      </w:r>
    </w:p>
    <w:p>
      <w:r>
        <w:t>Bundesgericht, 2008-09-12, FR</w:t>
      </w:r>
    </w:p>
    <w:p>
      <w:r>
        <w:rPr>
          <w:b/>
        </w:rPr>
        <w:t xml:space="preserve">Quelle: </w:t>
      </w:r>
      <w:r>
        <w:t>https://mcp.opencaselaw.ch/entscheid/bger_6B_628_2008</w:t>
      </w:r>
    </w:p>
    <w:p>
      <w:r>
        <w:t>FR: TF 6B 628/2008 du 12 septembre 2008</w:t>
      </w:r>
    </w:p>
    <w:p>
      <w:r>
        <w:t>IT: TF 6B 628/2008 del 12 settembre 2008</w:t>
      </w:r>
    </w:p>
    <w:p>
      <w:pPr>
        <w:pStyle w:val="Heading2"/>
      </w:pPr>
      <w:r>
        <w:t>Regeste</w:t>
      </w:r>
    </w:p>
    <w:p>
      <w:r>
        <w:t>Contravention à la Loi sur les conditions d'élevage, d'éducation et de détention des chiens (canton de Genève)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rôle.</w:t>
      </w:r>
    </w:p>
    <w:p>
      <w:r>
        <w:rPr>
          <w:b/>
        </w:rPr>
        <w:t>E. 2</w:t>
      </w:r>
    </w:p>
    <w:p>
      <w:r>
        <w:t>Il n'est pas perçu d'émolument judiciaire.</w:t>
      </w:r>
    </w:p>
    <w:p>
      <w:r>
        <w:rPr>
          <w:b/>
        </w:rPr>
        <w:t>E. 3</w:t>
      </w:r>
    </w:p>
    <w:p>
      <w:r>
        <w:t>La présente ordonnance est communiquée aux parties et à la Cour de justice du canton de Genève, Chambre pénale. Lausanne, le 12 septembre 2008 Au nom de la Cour de droit pénal du Tribunal fédéral suisse Le Président: Le Greffier: Schneider Oulevey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