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627/2024 vom 8. Oktober 2024</w:t>
      </w:r>
    </w:p>
    <w:p>
      <w:r>
        <w:t>Bundesgericht, 2024-10-08, FR</w:t>
      </w:r>
    </w:p>
    <w:p>
      <w:r>
        <w:rPr>
          <w:b/>
        </w:rPr>
        <w:t xml:space="preserve">Quelle: </w:t>
      </w:r>
      <w:r>
        <w:t>https://mcp.opencaselaw.ch/entscheid/bger_6B_627_2024</w:t>
      </w:r>
    </w:p>
    <w:p>
      <w:r>
        <w:t>FR: TF 6B 627/2024 du 8 octobre 2024</w:t>
      </w:r>
    </w:p>
    <w:p>
      <w:r>
        <w:t>IT: TF 6B 627/2024 del 8 ottobre 2024</w:t>
      </w:r>
    </w:p>
    <w:p>
      <w:pPr>
        <w:pStyle w:val="Heading2"/>
      </w:pPr>
      <w:r>
        <w:t>Regeste</w:t>
      </w:r>
    </w:p>
    <w:p>
      <w:r>
        <w:t>Expulsion; arbitraire | Droit pénal (en général)</w:t>
      </w:r>
    </w:p>
    <w:p>
      <w:pPr>
        <w:pStyle w:val="Heading2"/>
      </w:pPr>
      <w:r>
        <w:t>Erwägungen</w:t>
      </w:r>
    </w:p>
    <w:p>
      <w:r>
        <w:rPr>
          <w:b/>
        </w:rPr>
        <w:t>E. 1</w:t>
      </w:r>
    </w:p>
    <w:p>
      <w:r>
        <w:t>Contestant son expulsion, le recourant se plaint d'arbitraire dans l'appréciation des faits et reproche à la cour cantonale d'avoir violé l' art. 66a al. 2 CP et la jurisprudence y afférente, l' art. 8 CEDH , le principe de proportionnalité et les art. 3 et 9 CDE .</w:t>
      </w:r>
    </w:p>
    <w:p>
      <w:r>
        <w:rPr>
          <w:b/>
        </w:rPr>
        <w:t>E. 1.1</w:t>
      </w:r>
    </w:p>
    <w:p>
      <w:r>
        <w:t>Aux termes de l' art. 66a al. 1 let . o CP, le juge expulse de Suisse l'étranger qui est condamné pour infraction à l'art. 19, al. 2, ou 20, al. 2, de la loi du 3 octobre 1951 sur les stupéfiants (LStup), quelle que soit la quotité de la peine prononcée à son encontre, pour une durée de cinq à quinze ans. En l'espèce, le recourant, de nationalité portugaise, qui a été reconnu coupable de violation grave à la LStup, remplit a priori les conditions d'une expulsion, sous réserve d'une application de l' art. 66a al. 2 CP , voire également des normes de droit international.</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w:t>
      </w:r>
    </w:p>
    <w:p>
      <w:r>
        <w:rPr>
          <w:b/>
        </w:rPr>
        <w:t>E. 1.2.1</w:t>
      </w:r>
    </w:p>
    <w:p>
      <w:r>
        <w:t>La clause de rigueur permet de garantir le principe de la proportionnalité (cf. art. 5 al. 2 Cst. ). Elle doit être appliquée de manière restrictive ( ATF 149 IV 231 consid. 2.1.1; 146 IV 105 consid. 3.4.2).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1.2.2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arrêts 6B_1256/2023 du 19 avril 2024 consid. 4.2.1; 6B_922/2023 du 19 mars 2024 consid. 1.6.3). Un séjour légal de dix années suppose en principe une bonne intégration de l'étranger (cf. ATF 149 I 207 consid. 5.3.2; 144 I 266 consid. 3.9; arrêts 6B_1256/2023 précité consid. 4.2.1; 6B_922/2023 précité consid. 1.6.3).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arrêts 6B_1256/2023 précité consid. 4.2.2; 6B_1044/2023 du 20 mars 2024 consid. 4.1.3).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6B_1256/2023 précité consid. 4.2.2; 6B_1044/2023 précité consid. 4.1.3).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6B_1256/2023 précité consid. 4.2.2; 6B_470/2023 du 20 septembre 2023 consid. 6.2; 6B_848/2022 du 21 juin 2023 consid. 4.2.1). Dans le cadre de l'examen de la proportionnalité de la mesure (cf. art. 8 par. 2 CEDH ), il faut aussi tenir compte de l'intérêt fondamental de l'enfant ( art. 3 CDE ) à pouvoir grandir en jouissant d'un contact étroit avec ses deux parents ( ATF 144 I 91 consid. 5.2; arrêts 6B_1256/2023 précité consid. 4.2.2; 6B_675/2023 du 18 octobre 2023 consid. 2.1).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6B_705/2023 du 23 août 2023 consid. 1.3.3; 6B_1116/2022 du 21 avril 2023 consid. 3.1;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6B_352/2024 du 30 août 2024 consid. 3.2.4; 6B_383/2024 du 7 juin 2024 consid. 10.2.2; 6B_1256/2023 précité consid. 4.2.2; 6B_849/2022 du 21 juin 2023 consid. 5.1.4; 6B_1116/2022 précité consid. 3.1.3).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6B_621/2023 du 29 janvier 2024 consid. 6.2.2; 6B_381/2023 du 8 juin 2023 consid. 4.2.2; 6B_257/2022 du 16 novembre 2022 consid. 3.3).</w:t>
      </w:r>
    </w:p>
    <w:p>
      <w:r>
        <w:rPr>
          <w:b/>
        </w:rPr>
        <w:t>E. 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1.4</w:t>
      </w:r>
    </w:p>
    <w:p>
      <w:r>
        <w:t>La cour cantonale a considéré que la violation grave de la LStup commise par le recourant franchissait très largement le seuil de 18 grammes de cocaïne considéré comme suffisant pour mettre en danger la santé de nombreuses personnes. En outre, il était notoire que le stupéfiant en question était considéré par la communauté scientifique comme faisant partie des plus dangereux sur le plan sanitaire et social. Partant, l'atteinte à la santé et à la sécurité publique causée par le comportement du recourant devait être qualifiée de très importante. De plus, son casier judiciaire suisse comportait de nombreuses infractions dont la faible intensité était tempérée par le fait que le recourant n'était arrivé en Suisse qu'en 2017. Il s'ensuivait que le seuil de gravité nécessaire pour qu'une expulsion fusse par exception possible au regard de l'art. 5 § 1 de l'Annexe I ALCP était atteint. En outre, un lien d'une intensité exceptionnelle avec la Suisse apparaissait nécessaire pour qu'il puisse être renoncé à une telle expulsion sur la base de l' art. 66a al. 2 CP . Le séjour du recourant en Suisse devait être qualifié de bref, dans la mesure où celui-ci n'y résidait légalement que depuis le 25 janvier 2020. L'intégration professionnelle et économique du recourant était minimale. Sans ressources financières, il n'avait pas travaillé depuis 2021, vivant depuis lors du modeste salaire de sa compagne et de revenus criminels. Le fait qu'il s'évertuait, avec succès, à apprendre le français et à acquérir d'autres connaissances en prison était louable, mais insuffisant à constituer un lien étroit avec la Suisse. Enfin, ses perspectives de réintégration sociale étaient manifestement plus importantes au Portugal ou en Guinée-Bissau, d'autant qu'il y possédait de la famille. Les seuls liens notables du recourant avec la Suisse étaient sa fille et, dans une moindre mesure, sa concubine. Il ne pouvait en effet être exigé de celles-ci qu'elles s'établissent au Portugal avec celui-ci au mépris du droit fondamental absolu de tout suisse à résider dans sa patrie. Cependant, le tribunal de police avait retenu avec pertinence qu'une résidence du recourant au Portugal permettait de réduire suffisamment l'atteinte portée à son droit fondamental à la vie de famille au vu de la proximité géographique de cet État avec la Suisse, permettant des vacances communes, et des moyens de communication modernes. Cela valait d'autant plus qu'en sa qualité de citoyen européen, il était libre de travailler et de s'établir sur l'ensemble du territoire de l'Union européenne, y compris en France voisine, pourvu qu'il y travaillât légalement. En conclusion, l'intérêt public à l'expulsion du recourant prévalait nettement sur l'intérêt privé de celui-ci à demeurer en Suisse. Partant, c'était à juste titre que le tribunal de police l'avait expulsé pour la durée minimale de cinq ans.</w:t>
      </w:r>
    </w:p>
    <w:p>
      <w:r>
        <w:rPr>
          <w:b/>
        </w:rPr>
        <w:t>E. 1.5.1</w:t>
      </w:r>
    </w:p>
    <w:p>
      <w:r>
        <w:t>En l'espèce, sous l'angle du droit au respect de la vie privée, il ressort du jugement attaqué que le recourant est arrivé en Suisse en 2017, mais n'est titulaire d'un permis de séjour que depuis 2020. Il n'a ainsi vécu légalement en Suisse que deux ans avant de s'adonner au trafic de stupéfiants, puis être ensuite placé en détention en 2023. Pendant cette période, s'il s'est occupé de sa fille née en 2020, il ne ressort pas des faits du jugement attaqué qu'il aurait travaillé et la majorité de ses attaches familiales et sociales semblent être au Portugal ou dans son pays d'origine. À cela s'ajoute qu'il a été condamné pénalement à quatre reprises depuis son arrivée en Suisse. Dans ces conditions, il n'apparaît pas qu'il dispose de liens sociaux et professionnels spécialement intenses avec la Suisse. Le seul fait que le recourant ait suivi des cours de français en prison ne change en l'occurrence rien à cette appréciation. Le recourant fait grief à la cour cantonale d'avoir retenu, en sa défaveur, qu'il n'avait pas travaillé alors qu'il était le "parent gardien" de l'enfant du couple, née en 2020. La cour cantonale n'a pas arbitrairement omis qu'il s'occupait de sa fille au moment de son arrestation (cf. supra consid. B.a); elle a cependant relevé qu'il s'adonnait au trafic de stupéfiants dans le canton de Genève alors que celle-ci était déjà née, soit en parallèle à son activité de garde. Dans ces conditions, l'on peut en effet se demander si le recourant ne pouvait pas plutôt consacrer ce temps à une activité lucrative, ne serait-ce qu'à temps partiel, pour se procurer des revenus légaux, étant encore relevé qu'il ressort du dossier que la mère de l'enfant ne travaille pas à plein temps. Le grief est rejeté dans la mesure où il est recevable. En ce qui concerne l'atteinte à la vie familiale, il y a lieu de considérer que le recourant entretient une relation étroite et effective avec sa fille, qui est de nationalité suisse, ainsi qu'avec sa compagne avec laquelle il fait ménage commun. Il convient dès lors d'admettre que l'expulsion du recourant le placerait dans une situation personnelle grave, en vertu de son droit au respect de sa vie familiale, puisqu'elle l'empêcherait en tout cas de vivre avec sa compagne et leur fille, qui bénéficient d'un droit de présence consolidé en Suisse. La première condition cumulative de l' art. 66a al. 2 CP étant réalisée, il reste à déterminer si l'intérêt privé de l'intéressé à demeurer en Suisse prévaut sur les intérêts publics à son expulsion. Cet examen implique en particulier de déterminer si la mesure litigieuse respecte le principe de la proportionnalité découlant des art. 5 al. 2 Cst. et 8 par. 2 CEDH.</w:t>
      </w:r>
    </w:p>
    <w:p>
      <w:r>
        <w:rPr>
          <w:b/>
        </w:rPr>
        <w:t>E. 1.5.2</w:t>
      </w:r>
    </w:p>
    <w:p>
      <w:r>
        <w:t>L'intérêt public à l'expulsion est important compte tenu de la nature et de la gravité des infractions commises et des antécédents du recourant. Celui-ci a commis une infraction grave à la LStup pour un trafic portant sur 191.7 grammes bruts de cocaïne sur une durée de plus d'une année et impliquant de nombreux acheteurs. Il a agi par appât de gain facile et par convenance personnelle, soit pour des motifs égoïstes. On rappelle dans ce contexte que la jurisprudence commande de se montrer particulièrement strict en cas de violation de la LStup (cf. arrêts 6B_1256/2023 précité consid. 4.8; 6B_1182/2021 du 3 octobre 2022 consid. 2.5.1; 6B_93/2021 du 6 octobre 2021 consid. 5.2). En effet,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par. 55; Dalia c. France du 19 février 1998, Recueil CourEDH 1998-I 76, par. 54; arrêts 6B_1256/2023 précité consid. 4.8; 6B_621/2023 précité consid. 6.4.2; 6B_381/2023 précité consid. 4.7.2; 6B_1250/2021 du 13 juin 2022 consid. 2.7.3 et les références citées). En tant que le recourant soutient qu'il s'est amendé et a "pris conscience de la situation", il invoque des éléments qui ne ressortent pas de l'arrêt attaqué, sans démontrer l'arbitraire de leur omission, de sorte qu'ils sont irrecevables. Il ressort au contraire du dossier que sa collaboration a été "moyenne" et s'il a finalement reconnu les faits qui lui étaient reprochés, il n'a eu de cesse de les minimiser et de varier dans ses déclarations les adaptant aux résultats des enquêtes (cf. jugement du tribunal de police du 15 décembre 2023, p. 11). C'est également en vain que le recourant soutient que toutes ses condamnations préalables concernent la question de son séjour, dans la mesure où il a notamment été condamné en 2017 et 2020 pour consommation de stupéfiants ( art. 19a LStup ) et en 2017 pour opposition aux actes de l'autorité ( art. 286 CP ). Par ailleurs, contrairement à ce qu'il semble suggérer, le fait que sa peine soit assortie du sursis partiel n'empêche pas le prononcé de l'expulsion. Enfin, on peut relever que la peine privative de liberté à laquelle le recourant a été condamné dépasse le seuil d'une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6B_1256/2023 précité 2024 consid. 4.8; 6B_675/2023 précité consid. 2.4 et l'arrêt cité).</w:t>
      </w:r>
    </w:p>
    <w:p>
      <w:r>
        <w:rPr>
          <w:b/>
        </w:rPr>
        <w:t>E. 1.5.3</w:t>
      </w:r>
    </w:p>
    <w:p>
      <w:r>
        <w:t>S'agissant de l'intérêt privé du recourant à demeurer en Suisse, celui-ci est important puisque sa compagne et leur enfant y résident. Concernant la durée de son séjour en Suisse, le recourant reproche à la cour cantonale d'avoir considéré que celui-ci était "bref" alors qu'il est dans notre pays depuis sept ans et huit mois. Il perd cependant de vue qu'il ne séjourne légalement en Suisse que depuis quatre ans et que, comme susmentionné, dans l'examen de la durée du séjour du condamné, la jurisprudence n'accorde qu'un faible poids aux années passées en Suisse dans l'illégalité (cf. supra consid. 1.2.2). Par ailleurs, selon la jurisprudence, une bonne intégration de l'étranger peut être supposée lorsqu'il a séjourné en Suisse légalement depuis dix années (cf. supra consid. 1.2.2). Le grief est rejeté dans la mesure où il est recevable. Ainsi, si l'on ne peut certes pas ignorer que l'expulsion est susceptible de porter atteinte aux relations entre le recourant et sa famille, il convient de relever que cette mesure reste d'une durée limitée, qu'il demeure envisageable que la vie de famille (avec sa compagne et leur fille) se poursuive à l'étranger - sa compagne étant également de nationalité portugaise - même si cela ne peut d'emblée être exigé et que la mesure n'empêchera pas le recourant d'entretenir des contacts avec sa compagne et leur enfant par le biais de visites régulières de ceux-ci au Portugal, voire par le biais des moyens de télécommunication modernes. Enfin, pour ce qui est de la réintégration du recourant au Portugal, celle-ci ne devrait pas être difficile dès lors notamment qu'il n'est légalement en Suisse que depuis quelques années et que son père et ses frères vivent dans son pays.</w:t>
      </w:r>
    </w:p>
    <w:p>
      <w:r>
        <w:rPr>
          <w:b/>
        </w:rPr>
        <w:t>E. 1.6</w:t>
      </w:r>
    </w:p>
    <w:p>
      <w:r>
        <w:t>En définitive, compte tenu de la gravité de l'infraction commise, des antécédents du recourant, de la courte durée de son séjour légal en Suisse, de son intégration mitigée et des perspectives qu'il conserve de se réintégrer au Portugal, la cour cantonale n'a pas violé le droit fédéral en considérant que les intérêts publics à son expulsion l'emportaient sur son intérêt privé à demeurer en Suisse. L'expulsion du recourant pour la durée (minimale) de cinq ans s'avère ainsi conforme au principe de la proportionnalité découlant des art. 5 al. 2 Cst. et 8 par. 2 CEDH.</w:t>
      </w:r>
    </w:p>
    <w:p>
      <w:r>
        <w:rPr>
          <w:b/>
        </w:rPr>
        <w:t>E. 2</w:t>
      </w:r>
    </w:p>
    <w:p>
      <w:r>
        <w:t>Au vu de ce qui précède, le recours doit être rejeté dans la mesure où il est recevable. Comme il était dénué de chances de succès, la demande d'assistance judiciaire doit être rejetée ( art. 64 al. 1 LTF 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