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626/2009 vom 3. November 2009</w:t>
      </w:r>
    </w:p>
    <w:p>
      <w:r>
        <w:t>Bundesgericht, 2009-11-03, FR</w:t>
      </w:r>
    </w:p>
    <w:p>
      <w:r>
        <w:rPr>
          <w:b/>
        </w:rPr>
        <w:t xml:space="preserve">Quelle: </w:t>
      </w:r>
      <w:r>
        <w:t>https://mcp.opencaselaw.ch/entscheid/bger_6B_626_2009</w:t>
      </w:r>
    </w:p>
    <w:p>
      <w:r>
        <w:t>FR: TF 6B 626/2009 du 3 novembre 2009</w:t>
      </w:r>
    </w:p>
    <w:p>
      <w:r>
        <w:t>IT: TF 6B 626/2009 del 3 novembre 2009</w:t>
      </w:r>
    </w:p>
    <w:p>
      <w:pPr>
        <w:pStyle w:val="Heading2"/>
      </w:pPr>
      <w:r>
        <w:t>Regeste</w:t>
      </w:r>
    </w:p>
    <w:p>
      <w:r>
        <w:t>Infractions graves à la loi fédérale sur les stupéfiants; fixation de la peine | Droit pénal (en général)</w:t>
      </w:r>
    </w:p>
    <w:p>
      <w:pPr>
        <w:pStyle w:val="Heading2"/>
      </w:pPr>
      <w:r>
        <w:t>Erwägungen</w:t>
      </w:r>
    </w:p>
    <w:p>
      <w:r>
        <w:rPr>
          <w:b/>
        </w:rPr>
        <w:t>E. 1</w:t>
      </w:r>
    </w:p>
    <w:p>
      <w:r>
        <w:t>A l'appui de son argumentation, le recourant produit un nouveau certificat médical. Il s'agit d'une pièce nouvelle qui est irrecevable au regard de l' art. 99 al. 1 LTF .</w:t>
      </w:r>
    </w:p>
    <w:p>
      <w:r>
        <w:rPr>
          <w:b/>
        </w:rPr>
        <w:t>E. 2</w:t>
      </w:r>
    </w:p>
    <w:p>
      <w:r>
        <w:t>Invoquant une violation de l'art. 63 aCP, le recourant se plaint de la peine infligée.</w:t>
      </w:r>
    </w:p>
    <w:p>
      <w:r>
        <w:rPr>
          <w:b/>
        </w:rPr>
        <w:t>E. 2.1</w:t>
      </w:r>
    </w:p>
    <w:p>
      <w:r>
        <w:t>Les faits reprochés à l'intéressé ont été commis avant l'entrée en vigueur, le 1er janvier 2007, des nouvelles dispositions de la partie générale du CP. Les autorités cantonales, qui ont statué postérieurement à cette date, devaient donc examiner si, en vertu du principe de la lex mitior ( art. 2 al. 2 CP ), le nouveau droit n'était pas plus favorable au recourant. A juste titre, elles ont appliqué l'ancienne loi, puisque la seule sanction qui entre en ligne de compte, au vu de la culpabilité du recourant, dépasse largement trois ans et que tout sursis est par conséquent exclu.</w:t>
      </w:r>
    </w:p>
    <w:p>
      <w:r>
        <w:rPr>
          <w:b/>
        </w:rPr>
        <w:t>E. 2.2</w:t>
      </w:r>
    </w:p>
    <w:p>
      <w:r>
        <w:t>Pour fixer la peine, le juge dispose d'un large pouvoir d'appréciation. Un recours portant sur la quotité de la peine ne peut donc être admis que si la sanction a été fixée en dehors du cadre légal, si elle est fondée sur des critères étrangers à l'art. 63 aCP, si les éléments d'appréciation prévus par cette disposition n'ont pas été pris en compte ou enfin si la peine apparaît exagérément sévère ou clémente au point que l'on doive parler d'un abus du pouvoir d'appréciation ( ATF 129 IV 6 consid. 6.1 p. 21; 127 IV 101 consid. 2c p. 104). Le juge doit exposer dans sa décision les éléments essentiels relatifs à l'acte ou à l'auteur qu'il prend en compte, de manière à ce que l'on puisse constater que tous les aspects pertinents ont été pris en considération et comment ils ont été appréciés, que ce soit dans un sens atténuant ou aggravant. II peut passer sous silence les éléments qui, sans abus du pouvoir d'appréciation, lui paraissent non pertinents ou d'une importance mineure. La motivation doit justifier la peine prononcée, en permettant de suivre le raisonnement adopté, mais le juge n'est nullement tenu d'exprimer en chiffres ou en pourcentages l'importance qu'il accorde à chacun des éléments qu'il cite ( ATF 127 IV 101 consid. 2c p. 104 s.; 122 IV 265 consid. 2d p. 269). La gravité de la faute est le critère essentiel à prendre en considération dans la fixation de la peine et le juge doit l'évaluer en fonction de tous les éléments pertinents, notamment ceux qui ont trait à l'acte lui-même, à savoir le résultat de l'activité illicite, le mode d'exécution, l'intensité de la volonté délictuelle et les mobiles, et ceux qui concernent l'auteur, soit les antécédents, la situation personnelle et le comportement après l'acte et au cours de la procédure pénale ( ATF 129 IV 6 consid. 6.1 p. 20; 127 IV 101 consid. 2a p. 103). Concernant la situation personnelle de l'auteur, le juge doit prendre en compte sa vulnérabilité face à la peine, soit son état de santé et son âge, ses obligations familiales, sa situation professionnelle, les risques de récidive, etc. La vulnérabilité face à la peine n'entre toutefois en considération, comme circonstance atténuante, que lorsqu'elle s'écarte du principe de la sensibilité commune à la douleur, comme par exemple en présence de lourdes maladies, de psychoses claustrophobiques ou de surdimutité (ATF 6S.120/2003 du 17 juin 2003 consid. 2.2 et les références citées).</w:t>
      </w:r>
    </w:p>
    <w:p>
      <w:r>
        <w:rPr>
          <w:b/>
        </w:rPr>
        <w:t>E. 2.3</w:t>
      </w:r>
    </w:p>
    <w:p>
      <w:r>
        <w:t>Le recourant reproche aux autorités genevoises de ne pas avoir atténué sa peine en raison de son état de santé. Selon les constatations cantonales, l'intéressé est atteint d'une poliomyélite évolutive qui l'empêche de marcher normalement. Il bénéficie de prothèses depuis peu. Certes, cette maladie lui complique la vie. Reste qu'elle ne lui occasionne pas de problèmes difficilement gérables en milieu carcéral. En effet, elle n'engendre pas de difficultés particulières sur le plan médical ou de la sécurité. De plus, l'usage de prothèses, de béquilles ou même d'un fauteuil roulant dans une prison ne présente pas plus de problèmes qu'en milieu libre. Par ailleurs, comme l'a démontré le recourant dans le cadre de son activité délictueuse, ses problèmes de mobilité ne l'ont pas entravé dans ses déplacements. Ainsi, la maladie de l'intéressé n'est pas de nature à accroître sa sensibilité à la peine de manière telle qu'elle justifierait une atténuation de celle-ci. Dans ces conditions, la Cour de cassation n'a pas violé le droit fédéral en refusant de tenir compte de l'état de santé de l'accusé comme circonstance atténuante. Le grief est donc rejeté.</w:t>
      </w:r>
    </w:p>
    <w:p>
      <w:r>
        <w:rPr>
          <w:b/>
        </w:rPr>
        <w:t>E. 2.4</w:t>
      </w:r>
    </w:p>
    <w:p>
      <w:r>
        <w:t>Le recourant estime que la motivation de la Cour d'assises est insuffisante quant aux raisons pour lesquelles elle n'a pas atténué sa peine du fait de sa maladie et reproche à la Cour de cassation de s'être substituée à l'autorité de première instance en complétant elle-même la motivation défaillante. Autant que l'intéressé critique le jugement de première instance, le recours est irrecevable ( art. 80 al. 1 LTF ). Pour le reste, savoir si la Cour de cassation a abusé de son pouvoir en complétant une motivation insuffisante est une question qui relève de l'application du droit cantonal de procédure dont le recourant n'invoque toutefois aucune violation. Insuffisamment motivée au regard de l' art. 106 al. 2 LTF , son argumentation est donc irrecevable.</w:t>
      </w:r>
    </w:p>
    <w:p>
      <w:r>
        <w:rPr>
          <w:b/>
        </w:rPr>
        <w:t>E. 3</w:t>
      </w:r>
    </w:p>
    <w:p>
      <w:r>
        <w:t>Le recours est rejeté dans la mesure où il est recevable. Comme ses conclusions étaient dénuées de chance de succès, le recourant doit être débouté de sa demande d'assistance judiciaire ( art. 64 al. 1 LTF a contrario) et supporter les frais de justice ( art. 66 al. 1 LTF ). Ceux-ci seront réduits pour tenir compte de la situation financière de l'intéressé.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